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EA89" w14:textId="5A1B4801" w:rsidR="00DD06F3" w:rsidRDefault="00DD06F3" w:rsidP="00DD06F3">
      <w:pPr>
        <w:jc w:val="center"/>
        <w:rPr>
          <w:rFonts w:asciiTheme="majorBidi" w:hAnsiTheme="majorBidi" w:cstheme="majorBidi"/>
        </w:rPr>
      </w:pPr>
      <w:r w:rsidRPr="00DD06F3">
        <w:rPr>
          <w:rFonts w:asciiTheme="majorBidi" w:hAnsiTheme="majorBidi" w:cstheme="majorBidi"/>
        </w:rPr>
        <w:t>LIETUVOS RESPUBLIKOS NACIONALINIŲ VYKDYMĄ UŽTIKRINANČIŲ ĮSTAIGŲ 202</w:t>
      </w:r>
      <w:r>
        <w:rPr>
          <w:rFonts w:asciiTheme="majorBidi" w:hAnsiTheme="majorBidi" w:cstheme="majorBidi"/>
        </w:rPr>
        <w:t>3</w:t>
      </w:r>
      <w:r w:rsidRPr="00DD06F3">
        <w:rPr>
          <w:rFonts w:asciiTheme="majorBidi" w:hAnsiTheme="majorBidi" w:cstheme="majorBidi"/>
        </w:rPr>
        <w:t>–202</w:t>
      </w:r>
      <w:r>
        <w:rPr>
          <w:rFonts w:asciiTheme="majorBidi" w:hAnsiTheme="majorBidi" w:cstheme="majorBidi"/>
        </w:rPr>
        <w:t>4</w:t>
      </w:r>
      <w:r w:rsidRPr="00DD06F3">
        <w:rPr>
          <w:rFonts w:asciiTheme="majorBidi" w:hAnsiTheme="majorBidi" w:cstheme="majorBidi"/>
        </w:rPr>
        <w:t xml:space="preserve"> METŲ VEIKLOS ATASKAITA</w:t>
      </w:r>
    </w:p>
    <w:p w14:paraId="327750DE" w14:textId="77777777" w:rsidR="00DD06F3" w:rsidRDefault="00DD06F3" w:rsidP="00DD06F3">
      <w:pPr>
        <w:jc w:val="center"/>
        <w:rPr>
          <w:rFonts w:asciiTheme="majorBidi" w:hAnsiTheme="majorBidi" w:cstheme="majorBidi"/>
        </w:rPr>
      </w:pPr>
    </w:p>
    <w:p w14:paraId="331828CC" w14:textId="77777777" w:rsidR="0009356C" w:rsidRDefault="00DD06F3" w:rsidP="009F5A58">
      <w:pPr>
        <w:spacing w:after="0" w:line="240" w:lineRule="auto"/>
        <w:ind w:firstLine="709"/>
        <w:jc w:val="both"/>
        <w:rPr>
          <w:rFonts w:asciiTheme="majorBidi" w:hAnsiTheme="majorBidi" w:cstheme="majorBidi"/>
        </w:rPr>
      </w:pPr>
      <w:r w:rsidRPr="00DD06F3">
        <w:rPr>
          <w:rFonts w:asciiTheme="majorBidi" w:hAnsiTheme="majorBidi" w:cstheme="majorBidi"/>
        </w:rPr>
        <w:t xml:space="preserve">2011 m. vasario 16 d. Europos Parlamento ir Tarybos reglamento (ES) Nr. 181/2011 dėl miesto ir tolimojo susisiekimo autobusų transporto keleivių teisių, kuriuo iš dalies keičiamas Reglamentas (EB) Nr. 2006/2004 (OL 2011 L 55, p. 1), (toliau – Reglamentas) 29 straipsnis nustato, kad „pagal [Reglamento] 28 straipsnio 1 dalį paskirtos vykdymo užtikrinimo įstaigos ne vėliau kaip 2015 m. birželio 1 d. ir po to kas dvejus metus paskelbia savo praėjusių dvejų kalendorinių metų veiklos ataskaitą, kurioje visų pirma aprašomi veiksmai, kurių buvo imtasi siekiant įgyvendinti šį reglamentą, ir pateikiami statistiniai duomenys apie skundus bei taikytas sankcijas“. </w:t>
      </w:r>
    </w:p>
    <w:p w14:paraId="335C10DC" w14:textId="77777777" w:rsidR="0009356C" w:rsidRDefault="00DD06F3" w:rsidP="009F5A58">
      <w:pPr>
        <w:spacing w:after="0" w:line="240" w:lineRule="auto"/>
        <w:ind w:firstLine="709"/>
        <w:jc w:val="both"/>
        <w:rPr>
          <w:rFonts w:asciiTheme="majorBidi" w:hAnsiTheme="majorBidi" w:cstheme="majorBidi"/>
        </w:rPr>
      </w:pPr>
      <w:r w:rsidRPr="00DD06F3">
        <w:rPr>
          <w:rFonts w:asciiTheme="majorBidi" w:hAnsiTheme="majorBidi" w:cstheme="majorBidi"/>
        </w:rPr>
        <w:t>Atsižvelgiant į šią Reglamento nuostatą pateikiama Lietuvos Respublikoje paskirtų Nacionalinių vykdymą užtikrinančių įstaigų (toliau – NVUĮ) ataskaita, kuri parengta vadovaujantis valstybių narių NVUĮ 2015 m. kovo 11 d. posėdyje vieningai priimta anketa.</w:t>
      </w:r>
    </w:p>
    <w:p w14:paraId="6761C0DB" w14:textId="77777777" w:rsidR="009F5A58" w:rsidRPr="00030945" w:rsidRDefault="009F5A58" w:rsidP="009F5A58">
      <w:pPr>
        <w:spacing w:after="0" w:line="240" w:lineRule="auto"/>
        <w:ind w:firstLine="709"/>
        <w:jc w:val="both"/>
        <w:rPr>
          <w:rFonts w:asciiTheme="majorBidi" w:hAnsiTheme="majorBidi" w:cstheme="majorBidi"/>
        </w:rPr>
      </w:pPr>
    </w:p>
    <w:p w14:paraId="0EDBDA5C" w14:textId="2354A5AF" w:rsidR="00D737D0" w:rsidRPr="00D737D0" w:rsidRDefault="00DD06F3" w:rsidP="00D737D0">
      <w:pPr>
        <w:pStyle w:val="ListParagraph"/>
        <w:numPr>
          <w:ilvl w:val="0"/>
          <w:numId w:val="1"/>
        </w:numPr>
        <w:jc w:val="both"/>
        <w:rPr>
          <w:rFonts w:asciiTheme="majorBidi" w:hAnsiTheme="majorBidi" w:cstheme="majorBidi"/>
        </w:rPr>
      </w:pPr>
      <w:r w:rsidRPr="00D737D0">
        <w:rPr>
          <w:rFonts w:asciiTheme="majorBidi" w:hAnsiTheme="majorBidi" w:cstheme="majorBidi"/>
          <w:b/>
          <w:bCs/>
        </w:rPr>
        <w:t>Užduočių tarp NVUĮ paskirstymas</w:t>
      </w:r>
      <w:r w:rsidRPr="00D737D0">
        <w:rPr>
          <w:rFonts w:asciiTheme="majorBidi" w:hAnsiTheme="majorBidi" w:cstheme="majorBidi"/>
        </w:rPr>
        <w:t xml:space="preserve"> </w:t>
      </w:r>
    </w:p>
    <w:p w14:paraId="5CFB4BAC" w14:textId="5C464542" w:rsidR="00AF73F9" w:rsidRDefault="00DD06F3" w:rsidP="00426C74">
      <w:pPr>
        <w:spacing w:after="0" w:line="240" w:lineRule="auto"/>
        <w:ind w:left="62" w:firstLine="357"/>
        <w:jc w:val="both"/>
        <w:rPr>
          <w:rFonts w:asciiTheme="majorBidi" w:hAnsiTheme="majorBidi" w:cstheme="majorBidi"/>
        </w:rPr>
      </w:pPr>
      <w:r w:rsidRPr="00D737D0">
        <w:rPr>
          <w:rFonts w:asciiTheme="majorBidi" w:hAnsiTheme="majorBidi" w:cstheme="majorBidi"/>
        </w:rPr>
        <w:t xml:space="preserve">Lietuvos Respublikos Vyriausybės 2012 m. lapkričio 14 d. nutarimu Nr. 1377 „Dėl 2011 m. vasario 16 d. Europos Parlamento ir Tarybos reglamento (ES) Nr. 181/2011 dėl miesto ir tolimojo susisiekimo autobusų transporto keleivių teisių, kuriuo iš dalies keičiamas Reglamentas (EB) Nr. 2006/2004, nuostatų įgyvendinimo“ Lietuvos transporto saugos administracija (toliau – Administracija) paskirta atsakinga institucija už Reglamento nuostatų, susijusių su reguliariomis paslaugomis, kai vežama iš Lietuvos Respublikos teritorijoje esančių vietų, ir reguliariomis paslaugomis, kai vežama iš trečiosios valstybės į Lietuvos Respubliką, vykdymo užtikrinimą, o Valstybinė vartotojų teisių apsaugos tarnyba (toliau – Tarnyba) paskirta atsakinga institucija, pagal Reglamentą nagrinėjančia vartotojų skundus ginčų sprendimo ne teisme tvarka. </w:t>
      </w:r>
    </w:p>
    <w:p w14:paraId="3C1D10EB" w14:textId="77777777" w:rsidR="00426C74" w:rsidRPr="00D737D0" w:rsidRDefault="00426C74" w:rsidP="00426C74">
      <w:pPr>
        <w:spacing w:after="0" w:line="240" w:lineRule="auto"/>
        <w:ind w:left="62" w:firstLine="357"/>
        <w:jc w:val="both"/>
        <w:rPr>
          <w:rFonts w:asciiTheme="majorBidi" w:hAnsiTheme="majorBidi" w:cstheme="majorBidi"/>
        </w:rPr>
      </w:pPr>
    </w:p>
    <w:p w14:paraId="028D22A4" w14:textId="7B769057" w:rsidR="00057A80" w:rsidRPr="00057A80" w:rsidRDefault="00DD06F3" w:rsidP="00057A80">
      <w:pPr>
        <w:pStyle w:val="ListParagraph"/>
        <w:numPr>
          <w:ilvl w:val="0"/>
          <w:numId w:val="1"/>
        </w:numPr>
        <w:jc w:val="both"/>
        <w:rPr>
          <w:rFonts w:asciiTheme="majorBidi" w:hAnsiTheme="majorBidi" w:cstheme="majorBidi"/>
        </w:rPr>
      </w:pPr>
      <w:r w:rsidRPr="00057A80">
        <w:rPr>
          <w:rFonts w:asciiTheme="majorBidi" w:hAnsiTheme="majorBidi" w:cstheme="majorBidi"/>
          <w:b/>
          <w:bCs/>
        </w:rPr>
        <w:t>Informacija ir statistika apie skundų nagrinėjimą</w:t>
      </w:r>
      <w:r w:rsidRPr="00057A80">
        <w:rPr>
          <w:rFonts w:asciiTheme="majorBidi" w:hAnsiTheme="majorBidi" w:cstheme="majorBidi"/>
        </w:rPr>
        <w:t xml:space="preserve"> </w:t>
      </w:r>
    </w:p>
    <w:tbl>
      <w:tblPr>
        <w:tblStyle w:val="TableGrid"/>
        <w:tblW w:w="0" w:type="auto"/>
        <w:tblInd w:w="60" w:type="dxa"/>
        <w:tblLook w:val="04A0" w:firstRow="1" w:lastRow="0" w:firstColumn="1" w:lastColumn="0" w:noHBand="0" w:noVBand="1"/>
      </w:tblPr>
      <w:tblGrid>
        <w:gridCol w:w="1736"/>
        <w:gridCol w:w="1562"/>
        <w:gridCol w:w="2234"/>
        <w:gridCol w:w="4036"/>
      </w:tblGrid>
      <w:tr w:rsidR="00E51F7A" w14:paraId="7C738226" w14:textId="77777777" w:rsidTr="00E51F7A">
        <w:tc>
          <w:tcPr>
            <w:tcW w:w="2062" w:type="dxa"/>
          </w:tcPr>
          <w:p w14:paraId="3A8C7BC0" w14:textId="6B2B8D34" w:rsidR="00057A80" w:rsidRDefault="00DD333B" w:rsidP="0073140B">
            <w:pPr>
              <w:jc w:val="center"/>
              <w:rPr>
                <w:rFonts w:asciiTheme="majorBidi" w:hAnsiTheme="majorBidi" w:cstheme="majorBidi"/>
              </w:rPr>
            </w:pPr>
            <w:r>
              <w:rPr>
                <w:rFonts w:asciiTheme="majorBidi" w:hAnsiTheme="majorBidi" w:cstheme="majorBidi"/>
              </w:rPr>
              <w:t>Metai</w:t>
            </w:r>
          </w:p>
        </w:tc>
        <w:tc>
          <w:tcPr>
            <w:tcW w:w="1842" w:type="dxa"/>
          </w:tcPr>
          <w:p w14:paraId="3A743903" w14:textId="0C10819E" w:rsidR="00057A80" w:rsidRDefault="00836EBC" w:rsidP="0073140B">
            <w:pPr>
              <w:jc w:val="center"/>
              <w:rPr>
                <w:rFonts w:asciiTheme="majorBidi" w:hAnsiTheme="majorBidi" w:cstheme="majorBidi"/>
              </w:rPr>
            </w:pPr>
            <w:r>
              <w:rPr>
                <w:rFonts w:asciiTheme="majorBidi" w:hAnsiTheme="majorBidi" w:cstheme="majorBidi"/>
              </w:rPr>
              <w:t>Skundų skaičius</w:t>
            </w:r>
          </w:p>
        </w:tc>
        <w:tc>
          <w:tcPr>
            <w:tcW w:w="2410" w:type="dxa"/>
          </w:tcPr>
          <w:p w14:paraId="17BBEDC7" w14:textId="69678984" w:rsidR="00057A80" w:rsidRDefault="00836EBC" w:rsidP="0073140B">
            <w:pPr>
              <w:jc w:val="center"/>
              <w:rPr>
                <w:rFonts w:asciiTheme="majorBidi" w:hAnsiTheme="majorBidi" w:cstheme="majorBidi"/>
              </w:rPr>
            </w:pPr>
            <w:r>
              <w:rPr>
                <w:rFonts w:asciiTheme="majorBidi" w:hAnsiTheme="majorBidi" w:cstheme="majorBidi"/>
              </w:rPr>
              <w:t>Skundimosi priežastis (pvz., nutraukimas, vėlavimas</w:t>
            </w:r>
            <w:r w:rsidR="0007508B">
              <w:rPr>
                <w:rFonts w:asciiTheme="majorBidi" w:hAnsiTheme="majorBidi" w:cstheme="majorBidi"/>
              </w:rPr>
              <w:t>, diskriminavimas, pagalbos nesuteikimas)</w:t>
            </w:r>
          </w:p>
        </w:tc>
        <w:tc>
          <w:tcPr>
            <w:tcW w:w="3254" w:type="dxa"/>
          </w:tcPr>
          <w:p w14:paraId="1F9D9BEC" w14:textId="78BD706E" w:rsidR="00057A80" w:rsidRDefault="0007508B" w:rsidP="0073140B">
            <w:pPr>
              <w:jc w:val="center"/>
              <w:rPr>
                <w:rFonts w:asciiTheme="majorBidi" w:hAnsiTheme="majorBidi" w:cstheme="majorBidi"/>
              </w:rPr>
            </w:pPr>
            <w:r>
              <w:rPr>
                <w:rFonts w:asciiTheme="majorBidi" w:hAnsiTheme="majorBidi" w:cstheme="majorBidi"/>
              </w:rPr>
              <w:t>Pastabos (jei yra)</w:t>
            </w:r>
          </w:p>
        </w:tc>
      </w:tr>
      <w:tr w:rsidR="00E51F7A" w14:paraId="780ECDB4" w14:textId="77777777" w:rsidTr="00E51F7A">
        <w:tc>
          <w:tcPr>
            <w:tcW w:w="2062" w:type="dxa"/>
          </w:tcPr>
          <w:p w14:paraId="7654EEB4" w14:textId="0354C08A" w:rsidR="00057A80" w:rsidRDefault="0073140B" w:rsidP="00057A80">
            <w:pPr>
              <w:jc w:val="both"/>
              <w:rPr>
                <w:rFonts w:asciiTheme="majorBidi" w:hAnsiTheme="majorBidi" w:cstheme="majorBidi"/>
              </w:rPr>
            </w:pPr>
            <w:r>
              <w:rPr>
                <w:rFonts w:asciiTheme="majorBidi" w:hAnsiTheme="majorBidi" w:cstheme="majorBidi"/>
              </w:rPr>
              <w:t>202</w:t>
            </w:r>
            <w:r w:rsidR="007B6631">
              <w:rPr>
                <w:rFonts w:asciiTheme="majorBidi" w:hAnsiTheme="majorBidi" w:cstheme="majorBidi"/>
              </w:rPr>
              <w:t>3 m. sausio 1 d. – 2023 m. gruodžio 31 d.</w:t>
            </w:r>
          </w:p>
        </w:tc>
        <w:tc>
          <w:tcPr>
            <w:tcW w:w="1842" w:type="dxa"/>
          </w:tcPr>
          <w:p w14:paraId="335655D2" w14:textId="78C50285" w:rsidR="00057A80" w:rsidRDefault="00E51F7A" w:rsidP="00E51F7A">
            <w:pPr>
              <w:jc w:val="center"/>
              <w:rPr>
                <w:rFonts w:asciiTheme="majorBidi" w:hAnsiTheme="majorBidi" w:cstheme="majorBidi"/>
              </w:rPr>
            </w:pPr>
            <w:r>
              <w:rPr>
                <w:rFonts w:asciiTheme="majorBidi" w:hAnsiTheme="majorBidi" w:cstheme="majorBidi"/>
              </w:rPr>
              <w:t>1</w:t>
            </w:r>
          </w:p>
        </w:tc>
        <w:tc>
          <w:tcPr>
            <w:tcW w:w="2410" w:type="dxa"/>
          </w:tcPr>
          <w:p w14:paraId="12271875" w14:textId="53A6C619" w:rsidR="00057A80" w:rsidRDefault="007E2B79" w:rsidP="00057A80">
            <w:pPr>
              <w:jc w:val="both"/>
              <w:rPr>
                <w:rFonts w:asciiTheme="majorBidi" w:hAnsiTheme="majorBidi" w:cstheme="majorBidi"/>
              </w:rPr>
            </w:pPr>
            <w:r>
              <w:rPr>
                <w:rFonts w:asciiTheme="majorBidi" w:hAnsiTheme="majorBidi" w:cstheme="majorBidi"/>
              </w:rPr>
              <w:t>Neatvyko autobusas, į kurį įsigyti bilietai (atšaukta</w:t>
            </w:r>
            <w:r w:rsidR="00024FCB">
              <w:rPr>
                <w:rFonts w:asciiTheme="majorBidi" w:hAnsiTheme="majorBidi" w:cstheme="majorBidi"/>
              </w:rPr>
              <w:t xml:space="preserve"> kelionė)</w:t>
            </w:r>
          </w:p>
        </w:tc>
        <w:tc>
          <w:tcPr>
            <w:tcW w:w="3254" w:type="dxa"/>
          </w:tcPr>
          <w:p w14:paraId="00E1F8B4" w14:textId="5742547E" w:rsidR="00057A80" w:rsidRDefault="001C5420" w:rsidP="00114171">
            <w:pPr>
              <w:jc w:val="both"/>
              <w:rPr>
                <w:rFonts w:asciiTheme="majorBidi" w:hAnsiTheme="majorBidi" w:cstheme="majorBidi"/>
              </w:rPr>
            </w:pPr>
            <w:r>
              <w:rPr>
                <w:rFonts w:asciiTheme="majorBidi" w:hAnsiTheme="majorBidi" w:cstheme="majorBidi"/>
              </w:rPr>
              <w:t xml:space="preserve">Vežėjas </w:t>
            </w:r>
            <w:r w:rsidR="00B54D94">
              <w:rPr>
                <w:rFonts w:asciiTheme="majorBidi" w:hAnsiTheme="majorBidi" w:cstheme="majorBidi"/>
              </w:rPr>
              <w:t xml:space="preserve">registruotas </w:t>
            </w:r>
            <w:r>
              <w:rPr>
                <w:rFonts w:asciiTheme="majorBidi" w:hAnsiTheme="majorBidi" w:cstheme="majorBidi"/>
              </w:rPr>
              <w:t>ne ES ir ne</w:t>
            </w:r>
            <w:r w:rsidR="00B54D94">
              <w:rPr>
                <w:rFonts w:asciiTheme="majorBidi" w:hAnsiTheme="majorBidi" w:cstheme="majorBidi"/>
              </w:rPr>
              <w:t xml:space="preserve"> EEK valstybėje narėje</w:t>
            </w:r>
            <w:r w:rsidR="00D32A8A">
              <w:rPr>
                <w:rFonts w:asciiTheme="majorBidi" w:hAnsiTheme="majorBidi" w:cstheme="majorBidi"/>
              </w:rPr>
              <w:t>, todėl</w:t>
            </w:r>
            <w:r w:rsidR="00B74690">
              <w:rPr>
                <w:rFonts w:asciiTheme="majorBidi" w:hAnsiTheme="majorBidi" w:cstheme="majorBidi"/>
              </w:rPr>
              <w:t xml:space="preserve"> vartotojo prašymas</w:t>
            </w:r>
            <w:r w:rsidR="00D32A8A">
              <w:rPr>
                <w:rFonts w:asciiTheme="majorBidi" w:hAnsiTheme="majorBidi" w:cstheme="majorBidi"/>
              </w:rPr>
              <w:t xml:space="preserve"> </w:t>
            </w:r>
            <w:r w:rsidR="00B74690">
              <w:rPr>
                <w:rFonts w:asciiTheme="majorBidi" w:hAnsiTheme="majorBidi" w:cstheme="majorBidi"/>
              </w:rPr>
              <w:t xml:space="preserve">nepriskirtinas </w:t>
            </w:r>
            <w:r>
              <w:rPr>
                <w:rFonts w:asciiTheme="majorBidi" w:hAnsiTheme="majorBidi" w:cstheme="majorBidi"/>
              </w:rPr>
              <w:t xml:space="preserve"> </w:t>
            </w:r>
            <w:r w:rsidR="00B74690">
              <w:rPr>
                <w:rFonts w:asciiTheme="majorBidi" w:hAnsiTheme="majorBidi" w:cstheme="majorBidi"/>
              </w:rPr>
              <w:t xml:space="preserve">Tarnybos kompetencijai. Vartotojui suteikta informacija dėl galimybės kreiptis </w:t>
            </w:r>
            <w:r w:rsidR="00114171" w:rsidRPr="00114171">
              <w:rPr>
                <w:rFonts w:asciiTheme="majorBidi" w:hAnsiTheme="majorBidi" w:cstheme="majorBidi"/>
              </w:rPr>
              <w:t xml:space="preserve">į vartotojų teises ginantį pasaulinį tinklą adresu </w:t>
            </w:r>
            <w:hyperlink r:id="rId5" w:history="1">
              <w:r w:rsidR="00114171" w:rsidRPr="00114171">
                <w:rPr>
                  <w:rStyle w:val="Hyperlink"/>
                  <w:rFonts w:asciiTheme="majorBidi" w:hAnsiTheme="majorBidi" w:cstheme="majorBidi"/>
                </w:rPr>
                <w:t>http://www.consumersinternational.org/</w:t>
              </w:r>
            </w:hyperlink>
          </w:p>
        </w:tc>
      </w:tr>
      <w:tr w:rsidR="00E51F7A" w14:paraId="51D0BE9B" w14:textId="77777777" w:rsidTr="00E51F7A">
        <w:tc>
          <w:tcPr>
            <w:tcW w:w="2062" w:type="dxa"/>
          </w:tcPr>
          <w:p w14:paraId="6AF67B0F" w14:textId="3A420BC7" w:rsidR="00057A80" w:rsidRDefault="007B6631" w:rsidP="00057A80">
            <w:pPr>
              <w:jc w:val="both"/>
              <w:rPr>
                <w:rFonts w:asciiTheme="majorBidi" w:hAnsiTheme="majorBidi" w:cstheme="majorBidi"/>
              </w:rPr>
            </w:pPr>
            <w:r>
              <w:rPr>
                <w:rFonts w:asciiTheme="majorBidi" w:hAnsiTheme="majorBidi" w:cstheme="majorBidi"/>
              </w:rPr>
              <w:t xml:space="preserve">2024 m. gruodžio 1 d. – 2024 m. gruodžio 31 d. </w:t>
            </w:r>
          </w:p>
        </w:tc>
        <w:tc>
          <w:tcPr>
            <w:tcW w:w="1842" w:type="dxa"/>
          </w:tcPr>
          <w:p w14:paraId="0CDBDFD2" w14:textId="47441BE6" w:rsidR="00057A80" w:rsidRDefault="0065288F" w:rsidP="0065288F">
            <w:pPr>
              <w:jc w:val="center"/>
              <w:rPr>
                <w:rFonts w:asciiTheme="majorBidi" w:hAnsiTheme="majorBidi" w:cstheme="majorBidi"/>
              </w:rPr>
            </w:pPr>
            <w:r>
              <w:rPr>
                <w:rFonts w:asciiTheme="majorBidi" w:hAnsiTheme="majorBidi" w:cstheme="majorBidi"/>
              </w:rPr>
              <w:t>1</w:t>
            </w:r>
          </w:p>
        </w:tc>
        <w:tc>
          <w:tcPr>
            <w:tcW w:w="2410" w:type="dxa"/>
          </w:tcPr>
          <w:p w14:paraId="6A262805" w14:textId="78DD850E" w:rsidR="00057A80" w:rsidRDefault="00904EC4" w:rsidP="00057A80">
            <w:pPr>
              <w:jc w:val="both"/>
              <w:rPr>
                <w:rFonts w:asciiTheme="majorBidi" w:hAnsiTheme="majorBidi" w:cstheme="majorBidi"/>
              </w:rPr>
            </w:pPr>
            <w:r>
              <w:rPr>
                <w:rFonts w:asciiTheme="majorBidi" w:hAnsiTheme="majorBidi" w:cstheme="majorBidi"/>
              </w:rPr>
              <w:t xml:space="preserve">Skundas susiję su neįgaliajam </w:t>
            </w:r>
            <w:r w:rsidR="00B605E2">
              <w:rPr>
                <w:rFonts w:asciiTheme="majorBidi" w:hAnsiTheme="majorBidi" w:cstheme="majorBidi"/>
              </w:rPr>
              <w:t>apribota galimybe sėdėti pasirinktoje vietoje</w:t>
            </w:r>
          </w:p>
        </w:tc>
        <w:tc>
          <w:tcPr>
            <w:tcW w:w="3254" w:type="dxa"/>
          </w:tcPr>
          <w:p w14:paraId="54DA3283" w14:textId="46D710DB" w:rsidR="00057A80" w:rsidRDefault="00CD73E0" w:rsidP="00057A80">
            <w:pPr>
              <w:jc w:val="both"/>
              <w:rPr>
                <w:rFonts w:asciiTheme="majorBidi" w:hAnsiTheme="majorBidi" w:cstheme="majorBidi"/>
              </w:rPr>
            </w:pPr>
            <w:r>
              <w:rPr>
                <w:rFonts w:asciiTheme="majorBidi" w:hAnsiTheme="majorBidi" w:cstheme="majorBidi"/>
              </w:rPr>
              <w:t xml:space="preserve">Vartotojui nepateikus duomenų, būtinų </w:t>
            </w:r>
            <w:r w:rsidR="00B96B44">
              <w:rPr>
                <w:rFonts w:asciiTheme="majorBidi" w:hAnsiTheme="majorBidi" w:cstheme="majorBidi"/>
              </w:rPr>
              <w:t>nagrinėjant skundą, prašymą atsisakyta nagrinėti, tačiau jis buvo per</w:t>
            </w:r>
            <w:r w:rsidR="006B514F">
              <w:rPr>
                <w:rFonts w:asciiTheme="majorBidi" w:hAnsiTheme="majorBidi" w:cstheme="majorBidi"/>
              </w:rPr>
              <w:t xml:space="preserve">siųstas Lietuvos transporto saugo administracijai, </w:t>
            </w:r>
            <w:r w:rsidR="007A3994">
              <w:rPr>
                <w:rFonts w:asciiTheme="majorBidi" w:hAnsiTheme="majorBidi" w:cstheme="majorBidi"/>
              </w:rPr>
              <w:t xml:space="preserve">atsakingai </w:t>
            </w:r>
            <w:r w:rsidR="00024FCB">
              <w:rPr>
                <w:rFonts w:ascii="Times New Roman" w:eastAsia="Calibri" w:hAnsi="Times New Roman" w:cs="Times New Roman"/>
              </w:rPr>
              <w:t>R</w:t>
            </w:r>
            <w:r w:rsidR="007A3994" w:rsidRPr="0045172F">
              <w:rPr>
                <w:rFonts w:ascii="Times New Roman" w:eastAsia="Calibri" w:hAnsi="Times New Roman" w:cs="Times New Roman"/>
              </w:rPr>
              <w:t>eglamento</w:t>
            </w:r>
            <w:r w:rsidR="00024FCB">
              <w:rPr>
                <w:rFonts w:ascii="Times New Roman" w:eastAsia="Calibri" w:hAnsi="Times New Roman" w:cs="Times New Roman"/>
              </w:rPr>
              <w:t xml:space="preserve"> </w:t>
            </w:r>
            <w:r w:rsidR="00024FCB" w:rsidRPr="00D737D0">
              <w:rPr>
                <w:rFonts w:asciiTheme="majorBidi" w:hAnsiTheme="majorBidi" w:cstheme="majorBidi"/>
              </w:rPr>
              <w:t xml:space="preserve">(ES) Nr. 181/2011 </w:t>
            </w:r>
            <w:r w:rsidR="007A3994" w:rsidRPr="0045172F">
              <w:rPr>
                <w:rFonts w:ascii="Times New Roman" w:eastAsia="Calibri" w:hAnsi="Times New Roman" w:cs="Times New Roman"/>
              </w:rPr>
              <w:t xml:space="preserve"> nuostatų</w:t>
            </w:r>
            <w:r w:rsidR="00F81EF7">
              <w:rPr>
                <w:rFonts w:ascii="Times New Roman" w:eastAsia="Calibri" w:hAnsi="Times New Roman" w:cs="Times New Roman"/>
              </w:rPr>
              <w:t xml:space="preserve"> </w:t>
            </w:r>
            <w:r w:rsidR="00F81EF7" w:rsidRPr="0045172F">
              <w:rPr>
                <w:rFonts w:ascii="Times New Roman" w:eastAsia="Calibri" w:hAnsi="Times New Roman" w:cs="Times New Roman"/>
              </w:rPr>
              <w:t xml:space="preserve">vykdymo </w:t>
            </w:r>
            <w:r w:rsidR="00F81EF7" w:rsidRPr="0045172F">
              <w:rPr>
                <w:rFonts w:ascii="Times New Roman" w:eastAsia="Calibri" w:hAnsi="Times New Roman" w:cs="Times New Roman"/>
              </w:rPr>
              <w:lastRenderedPageBreak/>
              <w:t>užtikrinimą</w:t>
            </w:r>
            <w:r w:rsidR="00F81EF7">
              <w:rPr>
                <w:rFonts w:ascii="Times New Roman" w:eastAsia="Calibri" w:hAnsi="Times New Roman" w:cs="Times New Roman"/>
              </w:rPr>
              <w:t>, taip pat</w:t>
            </w:r>
            <w:r w:rsidR="00E91F17">
              <w:rPr>
                <w:rFonts w:ascii="Times New Roman" w:eastAsia="Calibri" w:hAnsi="Times New Roman" w:cs="Times New Roman"/>
              </w:rPr>
              <w:t xml:space="preserve"> </w:t>
            </w:r>
            <w:r w:rsidR="00952F82" w:rsidRPr="005B3342">
              <w:rPr>
                <w:rFonts w:ascii="Times New Roman" w:eastAsia="Calibri" w:hAnsi="Times New Roman" w:cs="Times New Roman"/>
              </w:rPr>
              <w:t>Lygių galimybių kontrolieriaus tarnybai</w:t>
            </w:r>
            <w:r w:rsidR="00E91F17">
              <w:rPr>
                <w:rFonts w:ascii="Times New Roman" w:eastAsia="Calibri" w:hAnsi="Times New Roman" w:cs="Times New Roman"/>
              </w:rPr>
              <w:t xml:space="preserve">, </w:t>
            </w:r>
            <w:r w:rsidR="00E91F17" w:rsidRPr="00816554">
              <w:rPr>
                <w:rFonts w:ascii="Times New Roman" w:eastAsia="Calibri" w:hAnsi="Times New Roman" w:cs="Times New Roman"/>
              </w:rPr>
              <w:t>atsaking</w:t>
            </w:r>
            <w:r w:rsidR="00E91F17">
              <w:rPr>
                <w:rFonts w:ascii="Times New Roman" w:eastAsia="Calibri" w:hAnsi="Times New Roman" w:cs="Times New Roman"/>
              </w:rPr>
              <w:t>ai</w:t>
            </w:r>
            <w:r w:rsidR="00E91F17" w:rsidRPr="00816554">
              <w:rPr>
                <w:rFonts w:ascii="Times New Roman" w:eastAsia="Calibri" w:hAnsi="Times New Roman" w:cs="Times New Roman"/>
              </w:rPr>
              <w:t xml:space="preserve"> už galimų </w:t>
            </w:r>
            <w:r w:rsidR="00E91F17">
              <w:rPr>
                <w:rFonts w:ascii="Times New Roman" w:eastAsia="Calibri" w:hAnsi="Times New Roman" w:cs="Times New Roman"/>
              </w:rPr>
              <w:t>Lietuvos Respublikos l</w:t>
            </w:r>
            <w:r w:rsidR="00E91F17" w:rsidRPr="00816554">
              <w:rPr>
                <w:rFonts w:ascii="Times New Roman" w:eastAsia="Calibri" w:hAnsi="Times New Roman" w:cs="Times New Roman"/>
              </w:rPr>
              <w:t>ygių galimybių įstatymo pažeidimų (skundų) tyrimą ir konsultacijų teikimą dėl paklausimų</w:t>
            </w:r>
          </w:p>
        </w:tc>
      </w:tr>
      <w:tr w:rsidR="005655DA" w14:paraId="1BC832EE" w14:textId="77777777" w:rsidTr="00E51F7A">
        <w:tc>
          <w:tcPr>
            <w:tcW w:w="2062" w:type="dxa"/>
          </w:tcPr>
          <w:p w14:paraId="1936A0D3" w14:textId="77777777" w:rsidR="005655DA" w:rsidRDefault="005655DA" w:rsidP="00057A80">
            <w:pPr>
              <w:jc w:val="both"/>
              <w:rPr>
                <w:rFonts w:asciiTheme="majorBidi" w:hAnsiTheme="majorBidi" w:cstheme="majorBidi"/>
              </w:rPr>
            </w:pPr>
          </w:p>
        </w:tc>
        <w:tc>
          <w:tcPr>
            <w:tcW w:w="1842" w:type="dxa"/>
          </w:tcPr>
          <w:p w14:paraId="5FC479C5" w14:textId="77777777" w:rsidR="005655DA" w:rsidRDefault="005655DA" w:rsidP="00057A80">
            <w:pPr>
              <w:jc w:val="both"/>
              <w:rPr>
                <w:rFonts w:asciiTheme="majorBidi" w:hAnsiTheme="majorBidi" w:cstheme="majorBidi"/>
              </w:rPr>
            </w:pPr>
          </w:p>
        </w:tc>
        <w:tc>
          <w:tcPr>
            <w:tcW w:w="2410" w:type="dxa"/>
          </w:tcPr>
          <w:p w14:paraId="0F806079" w14:textId="77777777" w:rsidR="005655DA" w:rsidRDefault="005655DA" w:rsidP="00057A80">
            <w:pPr>
              <w:jc w:val="both"/>
              <w:rPr>
                <w:rFonts w:asciiTheme="majorBidi" w:hAnsiTheme="majorBidi" w:cstheme="majorBidi"/>
              </w:rPr>
            </w:pPr>
          </w:p>
        </w:tc>
        <w:tc>
          <w:tcPr>
            <w:tcW w:w="3254" w:type="dxa"/>
          </w:tcPr>
          <w:p w14:paraId="4B01B6A2" w14:textId="16149104" w:rsidR="005655DA" w:rsidRDefault="0098256F" w:rsidP="00057A80">
            <w:pPr>
              <w:jc w:val="both"/>
              <w:rPr>
                <w:rFonts w:asciiTheme="majorBidi" w:hAnsiTheme="majorBidi" w:cstheme="majorBidi"/>
              </w:rPr>
            </w:pPr>
            <w:r>
              <w:rPr>
                <w:rFonts w:asciiTheme="majorBidi" w:hAnsiTheme="majorBidi" w:cstheme="majorBidi"/>
              </w:rPr>
              <w:t xml:space="preserve">Neįtraukti </w:t>
            </w:r>
            <w:r w:rsidR="00EC7753">
              <w:rPr>
                <w:rFonts w:asciiTheme="majorBidi" w:hAnsiTheme="majorBidi" w:cstheme="majorBidi"/>
              </w:rPr>
              <w:t>autobusų keleivių</w:t>
            </w:r>
            <w:r>
              <w:rPr>
                <w:rFonts w:asciiTheme="majorBidi" w:hAnsiTheme="majorBidi" w:cstheme="majorBidi"/>
              </w:rPr>
              <w:t xml:space="preserve"> prašymai, nepatenkan</w:t>
            </w:r>
            <w:r w:rsidR="00EC7753">
              <w:rPr>
                <w:rFonts w:asciiTheme="majorBidi" w:hAnsiTheme="majorBidi" w:cstheme="majorBidi"/>
              </w:rPr>
              <w:t>tys į R</w:t>
            </w:r>
            <w:r w:rsidR="00EC7753" w:rsidRPr="00DD06F3">
              <w:rPr>
                <w:rFonts w:asciiTheme="majorBidi" w:hAnsiTheme="majorBidi" w:cstheme="majorBidi"/>
              </w:rPr>
              <w:t>eglamento (ES) Nr. 181/2011</w:t>
            </w:r>
            <w:r w:rsidR="00EC7753">
              <w:rPr>
                <w:rFonts w:asciiTheme="majorBidi" w:hAnsiTheme="majorBidi" w:cstheme="majorBidi"/>
              </w:rPr>
              <w:t xml:space="preserve"> reguliavimo sritį</w:t>
            </w:r>
          </w:p>
        </w:tc>
      </w:tr>
    </w:tbl>
    <w:p w14:paraId="3CD3453C" w14:textId="77777777" w:rsidR="00057A80" w:rsidRDefault="00057A80" w:rsidP="00057A80">
      <w:pPr>
        <w:ind w:left="60"/>
        <w:jc w:val="both"/>
        <w:rPr>
          <w:rFonts w:asciiTheme="majorBidi" w:hAnsiTheme="majorBidi" w:cstheme="majorBidi"/>
        </w:rPr>
      </w:pPr>
    </w:p>
    <w:p w14:paraId="663F542A" w14:textId="2B8F6344" w:rsidR="00030945" w:rsidRPr="00030945" w:rsidRDefault="00DD06F3" w:rsidP="00030945">
      <w:pPr>
        <w:ind w:left="60" w:firstLine="649"/>
        <w:jc w:val="both"/>
        <w:rPr>
          <w:rFonts w:asciiTheme="majorBidi" w:hAnsiTheme="majorBidi" w:cstheme="majorBidi"/>
        </w:rPr>
      </w:pPr>
      <w:r w:rsidRPr="00057A80">
        <w:rPr>
          <w:rFonts w:asciiTheme="majorBidi" w:hAnsiTheme="majorBidi" w:cstheme="majorBidi"/>
        </w:rPr>
        <w:t xml:space="preserve">Keleiviui nepavykus su vežėju ginčo dėl teisių, įtvirtintų Reglamente, pažeidimo išspręsti taikiu būdu, </w:t>
      </w:r>
      <w:r w:rsidRPr="00FC0A52">
        <w:rPr>
          <w:rFonts w:asciiTheme="majorBidi" w:hAnsiTheme="majorBidi" w:cstheme="majorBidi"/>
        </w:rPr>
        <w:t xml:space="preserve">prašymą dėl ginčo išnagrinėjimo ne teisme tvarka (toliau – prašymas) raštu galima pateikti Tarnybai. Prašymo formą galima surasti Tarnybos internetinėje svetainėje http://vvtat.lt/vartotojams/kaip-pateikti-prasyma/431. </w:t>
      </w:r>
      <w:r w:rsidR="00030945" w:rsidRPr="00FC0A52">
        <w:rPr>
          <w:rFonts w:asciiTheme="majorBidi" w:hAnsiTheme="majorBidi" w:cstheme="majorBidi"/>
        </w:rPr>
        <w:t xml:space="preserve">Prašymo formą galima surasti Tarnybos internetinėje svetainėje https://vvtat.lrv.lt/lt/paslaugos-343/prasymai-344/vartotojo-prasymo-forma-345/. Pasirašytas prašymas su pridedamais dokumentais siunčiamas Tarnybai: 1. paštu adresu A. Goštauto g. 12, 01108 Vilnius; 2. el. paštu </w:t>
      </w:r>
      <w:proofErr w:type="spellStart"/>
      <w:r w:rsidR="00030945" w:rsidRPr="00FC0A52">
        <w:rPr>
          <w:rFonts w:asciiTheme="majorBidi" w:hAnsiTheme="majorBidi" w:cstheme="majorBidi"/>
        </w:rPr>
        <w:t>tarnyba@vvtat.lt</w:t>
      </w:r>
      <w:proofErr w:type="spellEnd"/>
      <w:r w:rsidR="00030945" w:rsidRPr="00FC0A52">
        <w:rPr>
          <w:rFonts w:asciiTheme="majorBidi" w:hAnsiTheme="majorBidi" w:cstheme="majorBidi"/>
        </w:rPr>
        <w:t>; 3. elektroniniu būdu vartotojo prašymą galima pateikti ir prašymo nagrinėjimą stebėti per Vartotojų teisių informacinę sistemą (VTIS).</w:t>
      </w:r>
      <w:r w:rsidR="00030945" w:rsidRPr="00030945">
        <w:rPr>
          <w:rFonts w:asciiTheme="majorBidi" w:hAnsiTheme="majorBidi" w:cstheme="majorBidi"/>
        </w:rPr>
        <w:t xml:space="preserve"> </w:t>
      </w:r>
      <w:r w:rsidR="00FE1D5D">
        <w:rPr>
          <w:rFonts w:asciiTheme="majorBidi" w:hAnsiTheme="majorBidi" w:cstheme="majorBidi"/>
        </w:rPr>
        <w:t xml:space="preserve"> </w:t>
      </w:r>
    </w:p>
    <w:p w14:paraId="3D15FB50" w14:textId="77777777" w:rsidR="00285642" w:rsidRPr="00285642" w:rsidRDefault="00285642" w:rsidP="00285642">
      <w:pPr>
        <w:ind w:left="60" w:firstLine="649"/>
        <w:jc w:val="both"/>
        <w:rPr>
          <w:rFonts w:asciiTheme="majorBidi" w:hAnsiTheme="majorBidi" w:cstheme="majorBidi"/>
        </w:rPr>
      </w:pPr>
      <w:r w:rsidRPr="00285642">
        <w:rPr>
          <w:rFonts w:asciiTheme="majorBidi" w:hAnsiTheme="majorBidi" w:cstheme="majorBidi"/>
        </w:rPr>
        <w:t>Tarnyba vartotojų (keleivių) skundus (prašymus) nagrinėja vartotojų ginčų sprendimo ne teisme tvarka, kuri yra nustatyta Lietuvos Respublikos vartotojų teisių apsaugos įstatymo (toliau – Vartotojų teisių apsaugos įstatymas) 19–29 straipsniuose. Tarnyboje vartotojų prašymai yra nagrinėjami vadovaujantis Vartotojų teisių apsaugos įstatymu, Lietuvos Respublikos viešojo administravimo įstatymu (toliau – Viešojo administravimo įstatymas) ir Vartojimo ginčų neteisminio sprendimo procedūros taisyklėmis. Tarnyba, gavusi vartotojo (keleivio) prašymą, pirmiausia kreipiasi į vežėją (paslaugos teikėją) ir per nustatytą terminą pasiūlo ginčą spręsti taikiai, o ginčo neišsprendus taikiai, pateikti išsamius motyvuotus paaiškinimus bei juos pagrindžiančius dokumentus dėl vartotojo (keleivio) prašyme nurodytų aplinkybių. Taip pat Tarnyba, vadovaudamasi Vartotojų teisių apsaugos įstatymo 24 straipsnio 2 dalimi, gali kreiptis į valstybės ir savivaldybės instituciją, kuri atsakinga už su ginču susijusią vartojimo sritį, prašydama išvados dėl vartotojo prašyme nurodyto reikalavimo ar pardavėjo, paslaugų teikėjo pateiktų paaiškinimų. Dėl keleivių teisių, nustatytų Reglamente, pažeidimo Tarnyba gali kreiptis (jeigu reikalinga) į Administraciją dėl išvados pateikimo. Jeigu vartotojas ir vežėjas ginčą užbaigia taikiu susitarimu, Tarnyba ginčo nagrinėjimą nutraukia. Jeigu prašyme nurodytos aplinkybės nėra susijusios su patirtos turtinės žalos atlyginimu, o tik su vežėjams Reglamentu nustatytų reikalavimų nesilaikymu, Tarnyba, vadovaudamasi Viešojo administravimo įstatymu, perduoda Administracijai vartotojo prašymą nagrinėti pagal kompetenciją. Jeigu pasiekti taikaus susitarimo nepavyksta, Tarnyba, išnagrinėjusi vartotojo (keleivio) prašymą, įvertinusi paslaugos teikėjo (vežėjo) pateiktus paaiškinimus ir įrodymus, atsižvelgdama į Administracijos išvadą, bei vadovaudamasi Vartotojų teisių apsaugos įstatymo 27 straipsnio 1 dalimi, priima privalomo pobūdžio sprendimą dėl ginčo esmės: patenkinti vartotojo reikalavimus, iš dalies patenkinti vartotojo reikalavimus, atmesti vartotojo prašymą ir apie jį informuoja ginčo šalis.</w:t>
      </w:r>
    </w:p>
    <w:p w14:paraId="50A9C17A" w14:textId="7DEA7B73" w:rsidR="00CE0A18" w:rsidRPr="00285642" w:rsidRDefault="00285642" w:rsidP="00CE0A18">
      <w:pPr>
        <w:ind w:left="60" w:firstLine="649"/>
        <w:jc w:val="both"/>
        <w:rPr>
          <w:rFonts w:asciiTheme="majorBidi" w:hAnsiTheme="majorBidi" w:cstheme="majorBidi"/>
        </w:rPr>
      </w:pPr>
      <w:r w:rsidRPr="00285642">
        <w:rPr>
          <w:rFonts w:asciiTheme="majorBidi" w:hAnsiTheme="majorBidi" w:cstheme="majorBidi"/>
        </w:rPr>
        <w:t xml:space="preserve">  Tarnyba, pasirengusi nagrinėti ginčą, jį paprastai nagrinėja rašytinės procedūros tvarka pagal jai pateiktus rašytinius ir (ar) daiktinius įrodymus, laikantis rungimosi, ginčų nagrinėjimo </w:t>
      </w:r>
      <w:r w:rsidRPr="00285642">
        <w:rPr>
          <w:rFonts w:asciiTheme="majorBidi" w:hAnsiTheme="majorBidi" w:cstheme="majorBidi"/>
        </w:rPr>
        <w:lastRenderedPageBreak/>
        <w:t>operatyvumo, koncentracijos, ekonomiškumo ir kooperacijos (bendradarbiavimo) principų. Taip pat bet kurios ginčo šalies prašymu arba savo iniciatyva Tarnyba gali nuspręsti ginčą nagrinėti žodinės procedūros tvarka, kai būtina išklausyti žodinius ginčo šalių paaiškinimus ar kitais atvejais, kai ginčas gali būti geriau išnagrinėtas žodinės procedūros tvarka. Vartojimo ginčus nagrinėjančios institucijos (šiuo atveju – Tarnybos) sprendimas įsigalioja ir yra privalomas vykdyti, jeigu nė viena ginčo šalis per 30 dienų nuo vartojimo ginčus nagrinėjančios institucijos sprendimo dėl ginčo esmės priėmimo nepareiškia ieškinio bendrosios kompetencijos teisme Lietuvos Respublikos civilinio proceso kodekso (toliau – Civilinio proceso kodeksas) nustatyta tvarka, prašydama nagrinėti ginčą iš esmės. Įsigaliojęs vartojimo ginčus nagrinėjančios institucijos sprendimas yra vykdomasis dokumentas. Jeigu šis sprendimas neįvykdomas, jis gali būti vykdomas priverstinai Civilinio proceso kodekso nustatyta tvarka (Vartotojų teisių apsaugos įstatymo 28 straipsnio 1 ir 2 dalys). Vadovaujantis Vartotojų teisių apsaugos įstatymo nuostatomis, vartojimo ginčas turi būti išnagrinėtas ir sprendimas dėl ginčo esmės priimtas ne vėliau kaip per 90 dienų nuo to laiko, kai vartojimo ginčų neteisminio sprendimo subjektas gavo vartotojo prašymą. Jeigu dėl pagrįstų priežasčių per šį terminą vartojimo ginčas negali būti išnagrinėtas ir priimtas sprendimas, Tarnyba gali šį terminą pratęsti, tačiau ne ilgiau negu 30 dienų. Vartotojai (keleiviai) turi teisę prašyti ginčą nagrinėti žodinio proceso tvarka (Vartotojų teisių apsaugos įstatymo 23 straipsnio 7 dalis), teisę pasitelkti atstovą, tačiau neprivalo būti atstovaujamas advokato ar kito asmens (Vartotojų teisių apsaugos įstatymo 22</w:t>
      </w:r>
      <w:r w:rsidRPr="00285642">
        <w:rPr>
          <w:rFonts w:asciiTheme="majorBidi" w:hAnsiTheme="majorBidi" w:cstheme="majorBidi"/>
          <w:vertAlign w:val="superscript"/>
        </w:rPr>
        <w:t>5</w:t>
      </w:r>
      <w:r w:rsidRPr="00285642">
        <w:rPr>
          <w:rFonts w:asciiTheme="majorBidi" w:hAnsiTheme="majorBidi" w:cstheme="majorBidi"/>
        </w:rPr>
        <w:t xml:space="preserve"> straipsnio 2 dalies 2 punktas), teisę pareikšti savo nuomonę ir gauti kitos ginčo šalies pateiktus paaiškinimus, dokumentus ir kitus įrodymus, taip pat gautas išvadas ir pateikti savo pastabas dėl jų (Vartotojų teisių apsaugos įstatymo 22</w:t>
      </w:r>
      <w:r w:rsidRPr="00285642">
        <w:rPr>
          <w:rFonts w:asciiTheme="majorBidi" w:hAnsiTheme="majorBidi" w:cstheme="majorBidi"/>
          <w:vertAlign w:val="superscript"/>
        </w:rPr>
        <w:t>5</w:t>
      </w:r>
      <w:r w:rsidRPr="00285642">
        <w:rPr>
          <w:rFonts w:asciiTheme="majorBidi" w:hAnsiTheme="majorBidi" w:cstheme="majorBidi"/>
        </w:rPr>
        <w:t xml:space="preserve"> straipsnio 2 dalies 1 punktas), teisę gauti raštu patvariojoje laikmenoje vartojimo ginčų neteisminio sprendimo subjekto priimtą motyvuotą sprendimą, kai ginčas išnagrinėtas iš esmės (Vartotojų teisių apsaugos įstatymo 22</w:t>
      </w:r>
      <w:r w:rsidRPr="00285642">
        <w:rPr>
          <w:rFonts w:asciiTheme="majorBidi" w:hAnsiTheme="majorBidi" w:cstheme="majorBidi"/>
          <w:vertAlign w:val="superscript"/>
        </w:rPr>
        <w:t>5</w:t>
      </w:r>
      <w:r w:rsidRPr="00285642">
        <w:rPr>
          <w:rFonts w:asciiTheme="majorBidi" w:hAnsiTheme="majorBidi" w:cstheme="majorBidi"/>
        </w:rPr>
        <w:t xml:space="preserve"> straipsnio 2 dalies 3 punktas), teisęs atsisakyti savo reikalavimų ir nutraukti vartojimo ginčo neteisminio sprendimo procedūrą iki sprendimo dėl ginčo esmės priėmimo, o vartotojo (keleivio) dalyvavimas vartojimo ginčų neteisminio sprendimo procedūroje neužkerta galimybės jam ginti savo teises ar teisėtus interesus teisme (Vartotojų teisių apsaugos įstatymo 22</w:t>
      </w:r>
      <w:r w:rsidRPr="00285642">
        <w:rPr>
          <w:rFonts w:asciiTheme="majorBidi" w:hAnsiTheme="majorBidi" w:cstheme="majorBidi"/>
          <w:vertAlign w:val="superscript"/>
        </w:rPr>
        <w:t>5</w:t>
      </w:r>
      <w:r w:rsidRPr="00285642">
        <w:rPr>
          <w:rFonts w:asciiTheme="majorBidi" w:hAnsiTheme="majorBidi" w:cstheme="majorBidi"/>
        </w:rPr>
        <w:t xml:space="preserve"> straipsnio 3 dalies 1, 2 punktai).</w:t>
      </w:r>
    </w:p>
    <w:p w14:paraId="098CA1EE" w14:textId="732CE98B" w:rsidR="00285642" w:rsidRDefault="00DD06F3" w:rsidP="00285642">
      <w:pPr>
        <w:pStyle w:val="ListParagraph"/>
        <w:numPr>
          <w:ilvl w:val="0"/>
          <w:numId w:val="1"/>
        </w:numPr>
        <w:jc w:val="both"/>
        <w:rPr>
          <w:rFonts w:asciiTheme="majorBidi" w:hAnsiTheme="majorBidi" w:cstheme="majorBidi"/>
          <w:b/>
          <w:bCs/>
        </w:rPr>
      </w:pPr>
      <w:r w:rsidRPr="00285642">
        <w:rPr>
          <w:rFonts w:asciiTheme="majorBidi" w:hAnsiTheme="majorBidi" w:cstheme="majorBidi"/>
          <w:b/>
          <w:bCs/>
        </w:rPr>
        <w:t xml:space="preserve">Informacija ir statistika apie poveikio priemones </w:t>
      </w:r>
    </w:p>
    <w:tbl>
      <w:tblPr>
        <w:tblStyle w:val="TableGrid"/>
        <w:tblW w:w="0" w:type="auto"/>
        <w:tblInd w:w="60" w:type="dxa"/>
        <w:tblLook w:val="04A0" w:firstRow="1" w:lastRow="0" w:firstColumn="1" w:lastColumn="0" w:noHBand="0" w:noVBand="1"/>
      </w:tblPr>
      <w:tblGrid>
        <w:gridCol w:w="1736"/>
        <w:gridCol w:w="1562"/>
        <w:gridCol w:w="2234"/>
        <w:gridCol w:w="4036"/>
      </w:tblGrid>
      <w:tr w:rsidR="00717637" w14:paraId="6C834E37" w14:textId="77777777" w:rsidTr="00717637">
        <w:tc>
          <w:tcPr>
            <w:tcW w:w="1736" w:type="dxa"/>
          </w:tcPr>
          <w:p w14:paraId="3E86644A" w14:textId="77777777" w:rsidR="00717637" w:rsidRDefault="00717637" w:rsidP="00717637">
            <w:pPr>
              <w:jc w:val="center"/>
              <w:rPr>
                <w:rFonts w:asciiTheme="majorBidi" w:hAnsiTheme="majorBidi" w:cstheme="majorBidi"/>
              </w:rPr>
            </w:pPr>
            <w:r>
              <w:rPr>
                <w:rFonts w:asciiTheme="majorBidi" w:hAnsiTheme="majorBidi" w:cstheme="majorBidi"/>
              </w:rPr>
              <w:t>Metai</w:t>
            </w:r>
          </w:p>
        </w:tc>
        <w:tc>
          <w:tcPr>
            <w:tcW w:w="1562" w:type="dxa"/>
          </w:tcPr>
          <w:p w14:paraId="44C23A02" w14:textId="382E2E88" w:rsidR="00717637" w:rsidRDefault="00717637" w:rsidP="00717637">
            <w:pPr>
              <w:jc w:val="center"/>
              <w:rPr>
                <w:rFonts w:asciiTheme="majorBidi" w:hAnsiTheme="majorBidi" w:cstheme="majorBidi"/>
              </w:rPr>
            </w:pPr>
            <w:r>
              <w:t>Paskirtų poveikio priemonių skaičius</w:t>
            </w:r>
          </w:p>
        </w:tc>
        <w:tc>
          <w:tcPr>
            <w:tcW w:w="2234" w:type="dxa"/>
          </w:tcPr>
          <w:p w14:paraId="6A38315F" w14:textId="68B30B9F" w:rsidR="00717637" w:rsidRDefault="00717637" w:rsidP="00717637">
            <w:pPr>
              <w:jc w:val="center"/>
              <w:rPr>
                <w:rFonts w:asciiTheme="majorBidi" w:hAnsiTheme="majorBidi" w:cstheme="majorBidi"/>
              </w:rPr>
            </w:pPr>
            <w:r>
              <w:t>Paskirtos poveikio priemonės rūšis (baudų atveju, kokia suma buvo paskirta)</w:t>
            </w:r>
          </w:p>
        </w:tc>
        <w:tc>
          <w:tcPr>
            <w:tcW w:w="4036" w:type="dxa"/>
          </w:tcPr>
          <w:p w14:paraId="08CAF0C4" w14:textId="038F2DD6" w:rsidR="00717637" w:rsidRDefault="00717637" w:rsidP="00717637">
            <w:pPr>
              <w:jc w:val="center"/>
              <w:rPr>
                <w:rFonts w:asciiTheme="majorBidi" w:hAnsiTheme="majorBidi" w:cstheme="majorBidi"/>
              </w:rPr>
            </w:pPr>
            <w:r>
              <w:t>Poveikio priemonės paskyrimo priežastis (kuri Reglamento nuostata buvo pažeista)</w:t>
            </w:r>
          </w:p>
        </w:tc>
      </w:tr>
      <w:tr w:rsidR="009F08B3" w14:paraId="45A6776C" w14:textId="77777777" w:rsidTr="00717637">
        <w:tc>
          <w:tcPr>
            <w:tcW w:w="1736" w:type="dxa"/>
          </w:tcPr>
          <w:p w14:paraId="045C8AF8" w14:textId="47959542" w:rsidR="009F08B3" w:rsidRDefault="009F08B3" w:rsidP="009F08B3">
            <w:pPr>
              <w:jc w:val="both"/>
              <w:rPr>
                <w:rFonts w:asciiTheme="majorBidi" w:hAnsiTheme="majorBidi" w:cstheme="majorBidi"/>
              </w:rPr>
            </w:pPr>
            <w:r>
              <w:t>2023 m. sausio  d. – 2023 m. gruodžio 31 d.</w:t>
            </w:r>
          </w:p>
        </w:tc>
        <w:tc>
          <w:tcPr>
            <w:tcW w:w="1562" w:type="dxa"/>
          </w:tcPr>
          <w:p w14:paraId="6D4C10A7" w14:textId="2062EFF0" w:rsidR="009F08B3" w:rsidRDefault="009F08B3" w:rsidP="009F08B3">
            <w:pPr>
              <w:jc w:val="center"/>
              <w:rPr>
                <w:rFonts w:asciiTheme="majorBidi" w:hAnsiTheme="majorBidi" w:cstheme="majorBidi"/>
              </w:rPr>
            </w:pPr>
            <w:r>
              <w:t>5</w:t>
            </w:r>
          </w:p>
        </w:tc>
        <w:tc>
          <w:tcPr>
            <w:tcW w:w="2234" w:type="dxa"/>
          </w:tcPr>
          <w:p w14:paraId="1A27B83A" w14:textId="7FA383BE" w:rsidR="009F08B3" w:rsidRDefault="009F08B3" w:rsidP="009F08B3">
            <w:pPr>
              <w:jc w:val="both"/>
              <w:rPr>
                <w:rFonts w:asciiTheme="majorBidi" w:hAnsiTheme="majorBidi" w:cstheme="majorBidi"/>
              </w:rPr>
            </w:pPr>
            <w:r>
              <w:t>590 Eur</w:t>
            </w:r>
          </w:p>
        </w:tc>
        <w:tc>
          <w:tcPr>
            <w:tcW w:w="4036" w:type="dxa"/>
          </w:tcPr>
          <w:p w14:paraId="00D34FBB" w14:textId="4DF5EA3A" w:rsidR="009F08B3" w:rsidRDefault="009F08B3" w:rsidP="009F08B3">
            <w:pPr>
              <w:jc w:val="both"/>
              <w:rPr>
                <w:rFonts w:asciiTheme="majorBidi" w:hAnsiTheme="majorBidi" w:cstheme="majorBidi"/>
              </w:rPr>
            </w:pPr>
            <w:r>
              <w:t>Nevežė keleivių leidime ir tvarkaraštyje nurodytu laiku ir dažnumu</w:t>
            </w:r>
          </w:p>
        </w:tc>
      </w:tr>
      <w:tr w:rsidR="00EC42A6" w14:paraId="73BDC87B" w14:textId="77777777" w:rsidTr="00717637">
        <w:tc>
          <w:tcPr>
            <w:tcW w:w="1736" w:type="dxa"/>
          </w:tcPr>
          <w:p w14:paraId="1E4056CF" w14:textId="5CC76EB3" w:rsidR="00EC42A6" w:rsidRDefault="00EC42A6" w:rsidP="00EC42A6">
            <w:pPr>
              <w:jc w:val="both"/>
              <w:rPr>
                <w:rFonts w:asciiTheme="majorBidi" w:hAnsiTheme="majorBidi" w:cstheme="majorBidi"/>
              </w:rPr>
            </w:pPr>
            <w:r>
              <w:t>2024 m. sausio  d. – 2024 m. gruodžio 31 d.</w:t>
            </w:r>
          </w:p>
        </w:tc>
        <w:tc>
          <w:tcPr>
            <w:tcW w:w="1562" w:type="dxa"/>
          </w:tcPr>
          <w:p w14:paraId="254F09B5" w14:textId="044C8BE2" w:rsidR="00EC42A6" w:rsidRDefault="00EC42A6" w:rsidP="00EC42A6">
            <w:pPr>
              <w:jc w:val="center"/>
              <w:rPr>
                <w:rFonts w:asciiTheme="majorBidi" w:hAnsiTheme="majorBidi" w:cstheme="majorBidi"/>
              </w:rPr>
            </w:pPr>
            <w:r>
              <w:t>8</w:t>
            </w:r>
          </w:p>
        </w:tc>
        <w:tc>
          <w:tcPr>
            <w:tcW w:w="2234" w:type="dxa"/>
          </w:tcPr>
          <w:p w14:paraId="79CDAC25" w14:textId="77777777" w:rsidR="00EC42A6" w:rsidRDefault="00EC42A6" w:rsidP="00EC42A6">
            <w:r>
              <w:t xml:space="preserve">500 Eur (BY tarptautiniams vežėjams) ir </w:t>
            </w:r>
          </w:p>
          <w:p w14:paraId="64343BAB" w14:textId="62520159" w:rsidR="00EC42A6" w:rsidRDefault="00EC42A6" w:rsidP="00EC42A6">
            <w:pPr>
              <w:jc w:val="both"/>
              <w:rPr>
                <w:rFonts w:asciiTheme="majorBidi" w:hAnsiTheme="majorBidi" w:cstheme="majorBidi"/>
              </w:rPr>
            </w:pPr>
            <w:r>
              <w:t>300Eur (LT vežėjams)</w:t>
            </w:r>
          </w:p>
        </w:tc>
        <w:tc>
          <w:tcPr>
            <w:tcW w:w="4036" w:type="dxa"/>
          </w:tcPr>
          <w:p w14:paraId="42E203EF" w14:textId="55E47F7B" w:rsidR="00EC42A6" w:rsidRDefault="00EC42A6" w:rsidP="00EC42A6">
            <w:pPr>
              <w:jc w:val="both"/>
              <w:rPr>
                <w:rFonts w:asciiTheme="majorBidi" w:hAnsiTheme="majorBidi" w:cstheme="majorBidi"/>
              </w:rPr>
            </w:pPr>
            <w:r>
              <w:t>Nevežė keleivių leidime ir tvarkaraštyje nurodytu laiku ir dažnumu</w:t>
            </w:r>
          </w:p>
        </w:tc>
      </w:tr>
    </w:tbl>
    <w:p w14:paraId="0421F8A5" w14:textId="3EE7D365" w:rsidR="00DD06F3" w:rsidRPr="00285642" w:rsidRDefault="00DD06F3" w:rsidP="0082031E">
      <w:pPr>
        <w:jc w:val="both"/>
        <w:rPr>
          <w:rFonts w:asciiTheme="majorBidi" w:hAnsiTheme="majorBidi" w:cstheme="majorBidi"/>
        </w:rPr>
      </w:pPr>
    </w:p>
    <w:sectPr w:rsidR="00DD06F3" w:rsidRPr="002856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836"/>
    <w:multiLevelType w:val="hybridMultilevel"/>
    <w:tmpl w:val="1A1CF310"/>
    <w:lvl w:ilvl="0" w:tplc="A92C7B8C">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10920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3"/>
    <w:rsid w:val="00024FCB"/>
    <w:rsid w:val="00030945"/>
    <w:rsid w:val="000373C3"/>
    <w:rsid w:val="00057A80"/>
    <w:rsid w:val="0007508B"/>
    <w:rsid w:val="0009356C"/>
    <w:rsid w:val="00113022"/>
    <w:rsid w:val="00114171"/>
    <w:rsid w:val="00182E11"/>
    <w:rsid w:val="001C5420"/>
    <w:rsid w:val="00285642"/>
    <w:rsid w:val="00321E9D"/>
    <w:rsid w:val="00426C74"/>
    <w:rsid w:val="00540D9D"/>
    <w:rsid w:val="005655DA"/>
    <w:rsid w:val="00585325"/>
    <w:rsid w:val="0065288F"/>
    <w:rsid w:val="00696D8F"/>
    <w:rsid w:val="006B514F"/>
    <w:rsid w:val="00717637"/>
    <w:rsid w:val="0073140B"/>
    <w:rsid w:val="007A3994"/>
    <w:rsid w:val="007B6631"/>
    <w:rsid w:val="007E2B79"/>
    <w:rsid w:val="0082031E"/>
    <w:rsid w:val="00836EBC"/>
    <w:rsid w:val="00904EC4"/>
    <w:rsid w:val="00952F82"/>
    <w:rsid w:val="00960021"/>
    <w:rsid w:val="0098256F"/>
    <w:rsid w:val="009F08B3"/>
    <w:rsid w:val="009F5A58"/>
    <w:rsid w:val="00AF73F9"/>
    <w:rsid w:val="00B54D94"/>
    <w:rsid w:val="00B605E2"/>
    <w:rsid w:val="00B74690"/>
    <w:rsid w:val="00B96B44"/>
    <w:rsid w:val="00BB09B6"/>
    <w:rsid w:val="00CD0194"/>
    <w:rsid w:val="00CD73E0"/>
    <w:rsid w:val="00CE0A18"/>
    <w:rsid w:val="00D32A8A"/>
    <w:rsid w:val="00D737D0"/>
    <w:rsid w:val="00DD06F3"/>
    <w:rsid w:val="00DD333B"/>
    <w:rsid w:val="00E51F7A"/>
    <w:rsid w:val="00E53C5C"/>
    <w:rsid w:val="00E91F17"/>
    <w:rsid w:val="00EC42A6"/>
    <w:rsid w:val="00EC7753"/>
    <w:rsid w:val="00F81EF7"/>
    <w:rsid w:val="00FC0A52"/>
    <w:rsid w:val="00FE1D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0489"/>
  <w15:chartTrackingRefBased/>
  <w15:docId w15:val="{9F947F32-DEA0-4171-A33C-88209DA8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6F3"/>
    <w:rPr>
      <w:rFonts w:eastAsiaTheme="majorEastAsia" w:cstheme="majorBidi"/>
      <w:color w:val="272727" w:themeColor="text1" w:themeTint="D8"/>
    </w:rPr>
  </w:style>
  <w:style w:type="paragraph" w:styleId="Title">
    <w:name w:val="Title"/>
    <w:basedOn w:val="Normal"/>
    <w:next w:val="Normal"/>
    <w:link w:val="TitleChar"/>
    <w:uiPriority w:val="10"/>
    <w:qFormat/>
    <w:rsid w:val="00DD0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6F3"/>
    <w:pPr>
      <w:spacing w:before="160"/>
      <w:jc w:val="center"/>
    </w:pPr>
    <w:rPr>
      <w:i/>
      <w:iCs/>
      <w:color w:val="404040" w:themeColor="text1" w:themeTint="BF"/>
    </w:rPr>
  </w:style>
  <w:style w:type="character" w:customStyle="1" w:styleId="QuoteChar">
    <w:name w:val="Quote Char"/>
    <w:basedOn w:val="DefaultParagraphFont"/>
    <w:link w:val="Quote"/>
    <w:uiPriority w:val="29"/>
    <w:rsid w:val="00DD06F3"/>
    <w:rPr>
      <w:i/>
      <w:iCs/>
      <w:color w:val="404040" w:themeColor="text1" w:themeTint="BF"/>
    </w:rPr>
  </w:style>
  <w:style w:type="paragraph" w:styleId="ListParagraph">
    <w:name w:val="List Paragraph"/>
    <w:basedOn w:val="Normal"/>
    <w:uiPriority w:val="34"/>
    <w:qFormat/>
    <w:rsid w:val="00DD06F3"/>
    <w:pPr>
      <w:ind w:left="720"/>
      <w:contextualSpacing/>
    </w:pPr>
  </w:style>
  <w:style w:type="character" w:styleId="IntenseEmphasis">
    <w:name w:val="Intense Emphasis"/>
    <w:basedOn w:val="DefaultParagraphFont"/>
    <w:uiPriority w:val="21"/>
    <w:qFormat/>
    <w:rsid w:val="00DD06F3"/>
    <w:rPr>
      <w:i/>
      <w:iCs/>
      <w:color w:val="0F4761" w:themeColor="accent1" w:themeShade="BF"/>
    </w:rPr>
  </w:style>
  <w:style w:type="paragraph" w:styleId="IntenseQuote">
    <w:name w:val="Intense Quote"/>
    <w:basedOn w:val="Normal"/>
    <w:next w:val="Normal"/>
    <w:link w:val="IntenseQuoteChar"/>
    <w:uiPriority w:val="30"/>
    <w:qFormat/>
    <w:rsid w:val="00DD0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6F3"/>
    <w:rPr>
      <w:i/>
      <w:iCs/>
      <w:color w:val="0F4761" w:themeColor="accent1" w:themeShade="BF"/>
    </w:rPr>
  </w:style>
  <w:style w:type="character" w:styleId="IntenseReference">
    <w:name w:val="Intense Reference"/>
    <w:basedOn w:val="DefaultParagraphFont"/>
    <w:uiPriority w:val="32"/>
    <w:qFormat/>
    <w:rsid w:val="00DD06F3"/>
    <w:rPr>
      <w:b/>
      <w:bCs/>
      <w:smallCaps/>
      <w:color w:val="0F4761" w:themeColor="accent1" w:themeShade="BF"/>
      <w:spacing w:val="5"/>
    </w:rPr>
  </w:style>
  <w:style w:type="table" w:styleId="TableGrid">
    <w:name w:val="Table Grid"/>
    <w:basedOn w:val="TableNormal"/>
    <w:uiPriority w:val="39"/>
    <w:rsid w:val="00057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171"/>
    <w:rPr>
      <w:color w:val="467886" w:themeColor="hyperlink"/>
      <w:u w:val="single"/>
    </w:rPr>
  </w:style>
  <w:style w:type="character" w:styleId="UnresolvedMention">
    <w:name w:val="Unresolved Mention"/>
    <w:basedOn w:val="DefaultParagraphFont"/>
    <w:uiPriority w:val="99"/>
    <w:semiHidden/>
    <w:unhideWhenUsed/>
    <w:rsid w:val="00114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321">
      <w:bodyDiv w:val="1"/>
      <w:marLeft w:val="0"/>
      <w:marRight w:val="0"/>
      <w:marTop w:val="0"/>
      <w:marBottom w:val="0"/>
      <w:divBdr>
        <w:top w:val="none" w:sz="0" w:space="0" w:color="auto"/>
        <w:left w:val="none" w:sz="0" w:space="0" w:color="auto"/>
        <w:bottom w:val="none" w:sz="0" w:space="0" w:color="auto"/>
        <w:right w:val="none" w:sz="0" w:space="0" w:color="auto"/>
      </w:divBdr>
    </w:div>
    <w:div w:id="954141841">
      <w:bodyDiv w:val="1"/>
      <w:marLeft w:val="0"/>
      <w:marRight w:val="0"/>
      <w:marTop w:val="0"/>
      <w:marBottom w:val="0"/>
      <w:divBdr>
        <w:top w:val="none" w:sz="0" w:space="0" w:color="auto"/>
        <w:left w:val="none" w:sz="0" w:space="0" w:color="auto"/>
        <w:bottom w:val="none" w:sz="0" w:space="0" w:color="auto"/>
        <w:right w:val="none" w:sz="0" w:space="0" w:color="auto"/>
      </w:divBdr>
    </w:div>
    <w:div w:id="1464344564">
      <w:bodyDiv w:val="1"/>
      <w:marLeft w:val="0"/>
      <w:marRight w:val="0"/>
      <w:marTop w:val="0"/>
      <w:marBottom w:val="0"/>
      <w:divBdr>
        <w:top w:val="none" w:sz="0" w:space="0" w:color="auto"/>
        <w:left w:val="none" w:sz="0" w:space="0" w:color="auto"/>
        <w:bottom w:val="none" w:sz="0" w:space="0" w:color="auto"/>
        <w:right w:val="none" w:sz="0" w:space="0" w:color="auto"/>
      </w:divBdr>
    </w:div>
    <w:div w:id="17087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mersinternational.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CEB66-586A-4560-8449-67AC27791224}"/>
</file>

<file path=customXml/itemProps2.xml><?xml version="1.0" encoding="utf-8"?>
<ds:datastoreItem xmlns:ds="http://schemas.openxmlformats.org/officeDocument/2006/customXml" ds:itemID="{1F13883E-0C79-4AAD-96C9-220D6BC0A436}"/>
</file>

<file path=customXml/itemProps3.xml><?xml version="1.0" encoding="utf-8"?>
<ds:datastoreItem xmlns:ds="http://schemas.openxmlformats.org/officeDocument/2006/customXml" ds:itemID="{B765C5F1-D7AB-4E16-9BD6-2EDC9854337A}"/>
</file>

<file path=docProps/app.xml><?xml version="1.0" encoding="utf-8"?>
<Properties xmlns="http://schemas.openxmlformats.org/officeDocument/2006/extended-properties" xmlns:vt="http://schemas.openxmlformats.org/officeDocument/2006/docPropsVTypes">
  <Template>Normal</Template>
  <TotalTime>186</TotalTime>
  <Pages>3</Pages>
  <Words>5987</Words>
  <Characters>3413</Characters>
  <Application>Microsoft Office Word</Application>
  <DocSecurity>0</DocSecurity>
  <Lines>28</Lines>
  <Paragraphs>18</Paragraphs>
  <ScaleCrop>false</ScaleCrop>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Junevičiūtė</dc:creator>
  <cp:keywords/>
  <dc:description/>
  <cp:lastModifiedBy>Mindaugas Jakimavičius</cp:lastModifiedBy>
  <cp:revision>51</cp:revision>
  <dcterms:created xsi:type="dcterms:W3CDTF">2025-05-29T08:01:00Z</dcterms:created>
  <dcterms:modified xsi:type="dcterms:W3CDTF">2025-09-17T07:27:00Z</dcterms:modified>
</cp:coreProperties>
</file>