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BD0" w:rsidRPr="00CE1253" w:rsidRDefault="00870BD0" w:rsidP="00751C98">
      <w:pPr>
        <w:jc w:val="center"/>
        <w:rPr>
          <w:b/>
          <w:bCs/>
        </w:rPr>
      </w:pPr>
      <w:bookmarkStart w:id="0" w:name="_GoBack"/>
      <w:bookmarkEnd w:id="0"/>
      <w:r w:rsidRPr="00CE1253">
        <w:rPr>
          <w:b/>
          <w:bCs/>
        </w:rPr>
        <w:t>IŠVADA</w:t>
      </w:r>
    </w:p>
    <w:p w:rsidR="00870BD0" w:rsidRPr="00CE1253" w:rsidRDefault="00870BD0" w:rsidP="00751C98">
      <w:pPr>
        <w:jc w:val="center"/>
        <w:rPr>
          <w:b/>
          <w:bCs/>
        </w:rPr>
      </w:pPr>
      <w:r w:rsidRPr="00CE1253">
        <w:rPr>
          <w:b/>
          <w:bCs/>
        </w:rPr>
        <w:t>DĖL VEIKLOS SRIČIŲ, KURIOSE EGZISTUOJA DIDELĖ KORUPCIJOS PASIREIŠKIMO TIKIMYBĖ, NUSTATYMO</w:t>
      </w:r>
    </w:p>
    <w:p w:rsidR="004F67FF" w:rsidRPr="00CE1253" w:rsidRDefault="00870BD0" w:rsidP="00751C98">
      <w:pPr>
        <w:pStyle w:val="BodyText2"/>
        <w:spacing w:after="0" w:line="240" w:lineRule="auto"/>
        <w:rPr>
          <w:b/>
        </w:rPr>
      </w:pPr>
      <w:r w:rsidRPr="00CE1253">
        <w:rPr>
          <w:b/>
        </w:rPr>
        <w:t xml:space="preserve"> </w:t>
      </w:r>
    </w:p>
    <w:p w:rsidR="00870BD0" w:rsidRPr="00CE1253" w:rsidRDefault="00F1048E" w:rsidP="0070591A">
      <w:pPr>
        <w:ind w:firstLine="851"/>
        <w:jc w:val="both"/>
        <w:rPr>
          <w:color w:val="000000"/>
        </w:rPr>
      </w:pPr>
      <w:r w:rsidRPr="00CE1253">
        <w:rPr>
          <w:lang w:eastAsia="lt-LT"/>
        </w:rPr>
        <w:t xml:space="preserve">Valstybinėje geležinkelio inspekcijoje prie </w:t>
      </w:r>
      <w:r w:rsidR="00870BD0" w:rsidRPr="00CE1253">
        <w:rPr>
          <w:color w:val="000000"/>
        </w:rPr>
        <w:t>Susisiekimo ministerijos</w:t>
      </w:r>
      <w:r w:rsidRPr="00CE1253">
        <w:rPr>
          <w:color w:val="000000"/>
        </w:rPr>
        <w:t xml:space="preserve"> (toliau – VGI)</w:t>
      </w:r>
      <w:r w:rsidR="00870BD0" w:rsidRPr="00CE1253">
        <w:rPr>
          <w:color w:val="000000"/>
        </w:rPr>
        <w:t xml:space="preserve"> </w:t>
      </w:r>
      <w:r w:rsidRPr="00CE1253">
        <w:rPr>
          <w:color w:val="000000"/>
        </w:rPr>
        <w:t>buvo nuspręsta</w:t>
      </w:r>
      <w:r w:rsidRPr="00CE1253">
        <w:rPr>
          <w:rStyle w:val="FootnoteReference"/>
          <w:color w:val="000000"/>
        </w:rPr>
        <w:footnoteReference w:id="1"/>
      </w:r>
      <w:r w:rsidRPr="00CE1253">
        <w:rPr>
          <w:color w:val="000000"/>
        </w:rPr>
        <w:t xml:space="preserve"> </w:t>
      </w:r>
      <w:r w:rsidR="00870BD0" w:rsidRPr="00CE1253">
        <w:rPr>
          <w:color w:val="000000"/>
        </w:rPr>
        <w:t xml:space="preserve">korupcijos pasireiškimo tikimybę </w:t>
      </w:r>
      <w:r w:rsidRPr="00CE1253">
        <w:rPr>
          <w:color w:val="000000"/>
        </w:rPr>
        <w:t>2017</w:t>
      </w:r>
      <w:r w:rsidR="00870BD0" w:rsidRPr="00CE1253">
        <w:rPr>
          <w:color w:val="000000"/>
        </w:rPr>
        <w:t xml:space="preserve"> metais nustatyti </w:t>
      </w:r>
      <w:r w:rsidRPr="00CE1253">
        <w:rPr>
          <w:color w:val="000000"/>
        </w:rPr>
        <w:t>ūkio subjektų, kurie Lietuvos Respublikos teritorijoje vykdo teisės aktų reglamentuojamą ūkinę veiklą, kurią prižiūri VGI, planinių ir neplaninių patikrinimų (toliau – planiniai ir neplaniniai patikrinimai)</w:t>
      </w:r>
      <w:r w:rsidR="00782481">
        <w:rPr>
          <w:color w:val="000000"/>
        </w:rPr>
        <w:t xml:space="preserve"> </w:t>
      </w:r>
      <w:r w:rsidRPr="00CE1253">
        <w:rPr>
          <w:color w:val="000000"/>
        </w:rPr>
        <w:t>atlikimo srityje</w:t>
      </w:r>
      <w:r w:rsidRPr="00CE1253">
        <w:rPr>
          <w:color w:val="000000"/>
          <w:vertAlign w:val="superscript"/>
        </w:rPr>
        <w:footnoteReference w:id="2"/>
      </w:r>
      <w:r w:rsidRPr="00CE1253">
        <w:rPr>
          <w:color w:val="000000"/>
        </w:rPr>
        <w:t>.</w:t>
      </w:r>
      <w:r w:rsidR="00870BD0" w:rsidRPr="00CE1253">
        <w:rPr>
          <w:color w:val="000000"/>
        </w:rPr>
        <w:t xml:space="preserve"> </w:t>
      </w:r>
    </w:p>
    <w:p w:rsidR="00F512DF" w:rsidRPr="00EA0BBB" w:rsidRDefault="00F60293" w:rsidP="00E53748">
      <w:pPr>
        <w:ind w:firstLine="851"/>
        <w:jc w:val="both"/>
        <w:rPr>
          <w:lang w:eastAsia="lt-LT"/>
        </w:rPr>
      </w:pPr>
      <w:r w:rsidRPr="00EA0BBB">
        <w:rPr>
          <w:lang w:eastAsia="lt-LT"/>
        </w:rPr>
        <w:t>Lietuvos Respublikos geležinkelių transporto kodekse</w:t>
      </w:r>
      <w:r w:rsidRPr="00EA0BBB">
        <w:rPr>
          <w:rStyle w:val="FootnoteReference"/>
          <w:lang w:eastAsia="lt-LT"/>
        </w:rPr>
        <w:footnoteReference w:id="3"/>
      </w:r>
      <w:r w:rsidRPr="00EA0BBB">
        <w:rPr>
          <w:lang w:eastAsia="lt-LT"/>
        </w:rPr>
        <w:t xml:space="preserve"> ir Lietuvos Respublikos geležinkelių transporto eismo saugos įstatyme</w:t>
      </w:r>
      <w:r w:rsidR="00EA0BBB">
        <w:rPr>
          <w:rStyle w:val="FootnoteReference"/>
          <w:lang w:eastAsia="lt-LT"/>
        </w:rPr>
        <w:footnoteReference w:id="4"/>
      </w:r>
      <w:r w:rsidRPr="00EA0BBB">
        <w:rPr>
          <w:lang w:eastAsia="lt-LT"/>
        </w:rPr>
        <w:t xml:space="preserve"> nustatyta, kad </w:t>
      </w:r>
      <w:r w:rsidR="00EA0BBB" w:rsidRPr="00EA0BBB">
        <w:rPr>
          <w:lang w:eastAsia="lt-LT"/>
        </w:rPr>
        <w:t>eismo saugos institucija, t. y. VGI</w:t>
      </w:r>
      <w:r w:rsidR="00EA0BBB">
        <w:rPr>
          <w:lang w:eastAsia="lt-LT"/>
        </w:rPr>
        <w:t>,</w:t>
      </w:r>
      <w:r w:rsidR="00EA0BBB" w:rsidRPr="00EA0BBB">
        <w:rPr>
          <w:lang w:eastAsia="lt-LT"/>
        </w:rPr>
        <w:t xml:space="preserve"> atlieka atitinkamos licencijuojamos bei ūkinės veiklos priežiūrą</w:t>
      </w:r>
      <w:r w:rsidR="00EA0BBB" w:rsidRPr="00EA0BBB">
        <w:rPr>
          <w:rStyle w:val="FootnoteReference"/>
          <w:lang w:eastAsia="lt-LT"/>
        </w:rPr>
        <w:footnoteReference w:id="5"/>
      </w:r>
      <w:r w:rsidR="00EA0BBB" w:rsidRPr="00EA0BBB">
        <w:rPr>
          <w:lang w:eastAsia="lt-LT"/>
        </w:rPr>
        <w:t>.</w:t>
      </w:r>
      <w:r w:rsidRPr="00EA0BBB">
        <w:rPr>
          <w:lang w:eastAsia="lt-LT"/>
        </w:rPr>
        <w:t xml:space="preserve"> </w:t>
      </w:r>
    </w:p>
    <w:p w:rsidR="00275AFD" w:rsidRPr="00CE1253" w:rsidRDefault="00275AFD" w:rsidP="0070591A">
      <w:pPr>
        <w:ind w:firstLine="851"/>
        <w:jc w:val="both"/>
        <w:rPr>
          <w:lang w:eastAsia="lt-LT"/>
        </w:rPr>
      </w:pPr>
      <w:r w:rsidRPr="00CE1253">
        <w:rPr>
          <w:color w:val="000000"/>
        </w:rPr>
        <w:t xml:space="preserve">Nustatyta, kad </w:t>
      </w:r>
      <w:r w:rsidR="00264E9B" w:rsidRPr="00CE1253">
        <w:rPr>
          <w:color w:val="000000"/>
        </w:rPr>
        <w:t>planinių ir neplaninių patikrinimų atlikim</w:t>
      </w:r>
      <w:r w:rsidR="00D23910">
        <w:rPr>
          <w:color w:val="000000"/>
        </w:rPr>
        <w:t>as</w:t>
      </w:r>
      <w:r w:rsidRPr="00CE1253">
        <w:rPr>
          <w:color w:val="000000"/>
        </w:rPr>
        <w:t xml:space="preserve"> priskiriama</w:t>
      </w:r>
      <w:r w:rsidR="00D23910">
        <w:rPr>
          <w:color w:val="000000"/>
        </w:rPr>
        <w:t>s</w:t>
      </w:r>
      <w:r w:rsidRPr="00CE1253">
        <w:rPr>
          <w:color w:val="000000"/>
        </w:rPr>
        <w:t xml:space="preserve"> prie sričių, kuriose egzistuoja didelė korupcijos pasireiškimo tikimybė, kadangi atitinka kriterijų </w:t>
      </w:r>
      <w:r w:rsidR="00DB6C1D" w:rsidRPr="00CE1253">
        <w:rPr>
          <w:color w:val="000000"/>
        </w:rPr>
        <w:t>–</w:t>
      </w:r>
      <w:r w:rsidRPr="00CE1253">
        <w:rPr>
          <w:color w:val="000000"/>
        </w:rPr>
        <w:t xml:space="preserve"> </w:t>
      </w:r>
      <w:r w:rsidR="00D23910">
        <w:rPr>
          <w:color w:val="000000"/>
        </w:rPr>
        <w:t>„</w:t>
      </w:r>
      <w:r w:rsidR="00264E9B" w:rsidRPr="00CE1253">
        <w:rPr>
          <w:color w:val="000000"/>
        </w:rPr>
        <w:t>pagrindinės funkcijos yra kontrolės ar priežiūros vykdymas</w:t>
      </w:r>
      <w:r w:rsidR="00D23910">
        <w:rPr>
          <w:color w:val="000000"/>
        </w:rPr>
        <w:t>“</w:t>
      </w:r>
      <w:r w:rsidRPr="00CE1253">
        <w:rPr>
          <w:color w:val="000000"/>
        </w:rPr>
        <w:t>.</w:t>
      </w:r>
      <w:r w:rsidRPr="00CE1253">
        <w:rPr>
          <w:rStyle w:val="FootnoteReference"/>
          <w:color w:val="000000"/>
        </w:rPr>
        <w:footnoteReference w:id="6"/>
      </w:r>
    </w:p>
    <w:p w:rsidR="00612F49" w:rsidRPr="00CE1253" w:rsidRDefault="00FC1A51" w:rsidP="000C7AFB">
      <w:pPr>
        <w:ind w:firstLine="851"/>
        <w:jc w:val="both"/>
        <w:rPr>
          <w:lang w:eastAsia="lt-LT"/>
        </w:rPr>
      </w:pPr>
      <w:r w:rsidRPr="00CE1253">
        <w:rPr>
          <w:lang w:eastAsia="lt-LT"/>
        </w:rPr>
        <w:t xml:space="preserve">Korupcijos pasireiškimo tikimybė buvo nustatyta įvertinus teisės aktuose įtvirtintą </w:t>
      </w:r>
      <w:r w:rsidR="00264E9B" w:rsidRPr="00CE1253">
        <w:rPr>
          <w:lang w:eastAsia="lt-LT"/>
        </w:rPr>
        <w:t>planinių ir neplaninių patikrinimų atlikimo</w:t>
      </w:r>
      <w:r w:rsidR="003D7DCA" w:rsidRPr="00CE1253">
        <w:rPr>
          <w:lang w:eastAsia="lt-LT"/>
        </w:rPr>
        <w:t xml:space="preserve"> procedūrą.</w:t>
      </w:r>
      <w:r w:rsidR="000C7AFB" w:rsidRPr="00CE1253">
        <w:rPr>
          <w:lang w:eastAsia="lt-LT"/>
        </w:rPr>
        <w:t xml:space="preserve"> </w:t>
      </w:r>
      <w:r w:rsidR="00146002" w:rsidRPr="00CE1253">
        <w:t>V</w:t>
      </w:r>
      <w:r w:rsidR="000B65A0" w:rsidRPr="00CE1253">
        <w:t xml:space="preserve">ertinti </w:t>
      </w:r>
      <w:r w:rsidR="00146002" w:rsidRPr="00CE1253">
        <w:t xml:space="preserve">šie </w:t>
      </w:r>
      <w:r w:rsidR="00264E9B" w:rsidRPr="00CE1253">
        <w:rPr>
          <w:lang w:eastAsia="lt-LT"/>
        </w:rPr>
        <w:t>planinių ir neplaninių patikrinimų atlikim</w:t>
      </w:r>
      <w:r w:rsidR="000C7AFB" w:rsidRPr="00CE1253">
        <w:rPr>
          <w:lang w:eastAsia="lt-LT"/>
        </w:rPr>
        <w:t>ą</w:t>
      </w:r>
      <w:r w:rsidR="00146002" w:rsidRPr="00CE1253">
        <w:rPr>
          <w:lang w:eastAsia="lt-LT"/>
        </w:rPr>
        <w:t xml:space="preserve"> </w:t>
      </w:r>
      <w:r w:rsidR="000B65A0" w:rsidRPr="00CE1253">
        <w:t>reglamentuojantys teisės aktai:</w:t>
      </w:r>
    </w:p>
    <w:p w:rsidR="000B65A0" w:rsidRPr="00CE1253" w:rsidRDefault="00264E9B" w:rsidP="00A12A2E">
      <w:pPr>
        <w:pStyle w:val="ListParagraph"/>
        <w:numPr>
          <w:ilvl w:val="0"/>
          <w:numId w:val="16"/>
        </w:numPr>
        <w:tabs>
          <w:tab w:val="left" w:pos="1134"/>
        </w:tabs>
        <w:ind w:left="0" w:firstLine="786"/>
        <w:jc w:val="both"/>
        <w:rPr>
          <w:lang w:eastAsia="lt-LT"/>
        </w:rPr>
      </w:pPr>
      <w:r w:rsidRPr="00CE1253">
        <w:t>Valstybinės geležinkelio inspekcijos prie Susisiekimo ministerijos atliekamų planinių ir neplaninių patikrinimų</w:t>
      </w:r>
      <w:r w:rsidR="00A12A2E" w:rsidRPr="00CE1253">
        <w:rPr>
          <w:bCs/>
        </w:rPr>
        <w:t xml:space="preserve"> taisyklės</w:t>
      </w:r>
      <w:r w:rsidR="00A12A2E" w:rsidRPr="00CE1253">
        <w:t xml:space="preserve">, patvirtintos </w:t>
      </w:r>
      <w:r w:rsidRPr="00CE1253">
        <w:t>Valstybinės geležinkelio inspekcijos prie Susisiekimo ministerijos viršininko 2010 m. gruodžio 27 d. įsakymu Nr. V-604 “Dėl Valstybinės geležinkelio inspekcijos prie Susisiekimo ministerijos atliekamų planinių ir neplaninių patikrinimų taisyklių patvirtinimo”</w:t>
      </w:r>
      <w:r w:rsidR="00A12A2E" w:rsidRPr="00CE1253">
        <w:t xml:space="preserve"> </w:t>
      </w:r>
      <w:r w:rsidR="00F07320" w:rsidRPr="00CE1253">
        <w:t>(toliau – Taisyklės)</w:t>
      </w:r>
      <w:r w:rsidR="000B65A0" w:rsidRPr="00CE1253">
        <w:t>;</w:t>
      </w:r>
    </w:p>
    <w:p w:rsidR="0070591A" w:rsidRPr="00CE1253" w:rsidRDefault="0070591A" w:rsidP="00A12A2E">
      <w:pPr>
        <w:pStyle w:val="ListParagraph"/>
        <w:numPr>
          <w:ilvl w:val="0"/>
          <w:numId w:val="16"/>
        </w:numPr>
        <w:tabs>
          <w:tab w:val="left" w:pos="1134"/>
        </w:tabs>
        <w:ind w:left="0" w:firstLine="786"/>
        <w:jc w:val="both"/>
      </w:pPr>
      <w:r w:rsidRPr="00CE1253">
        <w:rPr>
          <w:bCs/>
        </w:rPr>
        <w:t xml:space="preserve">Valstybinės geležinkelio inspekcijos prie Susisiekimo ministerijos vidaus tvarkos taisyklės, </w:t>
      </w:r>
      <w:r w:rsidRPr="00CE1253">
        <w:t>patvirtintos Valstybinės geležinkelio inspe</w:t>
      </w:r>
      <w:r w:rsidR="00264E9B" w:rsidRPr="00CE1253">
        <w:t>k</w:t>
      </w:r>
      <w:r w:rsidRPr="00CE1253">
        <w:t>cijos prie Susisiekimo ministerijos viršininko 2008 m. vasario 27 d. įsakymu Nr. V-84 “Dėl Valstybinės geležinkelio inspekcijos prie Susisiekimo ministerijos vidaus tvarkos taisyklių patvirtinimo” (su vėlesniais pakeitimais)</w:t>
      </w:r>
      <w:r w:rsidR="00E80B77" w:rsidRPr="00CE1253">
        <w:t xml:space="preserve"> (toliau – Vidaus darbo taisyklės)</w:t>
      </w:r>
      <w:r w:rsidR="00564BC0" w:rsidRPr="00CE1253">
        <w:t xml:space="preserve">; </w:t>
      </w:r>
    </w:p>
    <w:p w:rsidR="00564BC0" w:rsidRPr="00CE1253" w:rsidRDefault="00DE2458" w:rsidP="00A12A2E">
      <w:pPr>
        <w:pStyle w:val="ListParagraph"/>
        <w:numPr>
          <w:ilvl w:val="0"/>
          <w:numId w:val="16"/>
        </w:numPr>
        <w:tabs>
          <w:tab w:val="left" w:pos="1134"/>
        </w:tabs>
        <w:ind w:left="0" w:firstLine="786"/>
        <w:jc w:val="both"/>
      </w:pPr>
      <w:r w:rsidRPr="00CE1253">
        <w:t>VGI skyrių nuostatai</w:t>
      </w:r>
      <w:r w:rsidRPr="00CE1253">
        <w:rPr>
          <w:rStyle w:val="FootnoteReference"/>
        </w:rPr>
        <w:footnoteReference w:id="7"/>
      </w:r>
      <w:r w:rsidRPr="00CE1253">
        <w:t xml:space="preserve">. </w:t>
      </w:r>
    </w:p>
    <w:p w:rsidR="00B06917" w:rsidRPr="00CE1253" w:rsidRDefault="00264E9B" w:rsidP="000C7AFB">
      <w:pPr>
        <w:ind w:firstLine="851"/>
        <w:jc w:val="both"/>
        <w:rPr>
          <w:lang w:eastAsia="lt-LT"/>
        </w:rPr>
      </w:pPr>
      <w:r w:rsidRPr="00CE1253">
        <w:rPr>
          <w:lang w:eastAsia="lt-LT"/>
        </w:rPr>
        <w:lastRenderedPageBreak/>
        <w:t>Planinių ir neplaninių patikrinimų atlikimo</w:t>
      </w:r>
      <w:r w:rsidR="00B06917" w:rsidRPr="00CE1253">
        <w:rPr>
          <w:lang w:eastAsia="lt-LT"/>
        </w:rPr>
        <w:t xml:space="preserve"> procesų vertinimas atliktas </w:t>
      </w:r>
      <w:r w:rsidR="00476CC3" w:rsidRPr="00CE1253">
        <w:rPr>
          <w:lang w:eastAsia="lt-LT"/>
        </w:rPr>
        <w:t>pagal</w:t>
      </w:r>
      <w:r w:rsidR="00B06917" w:rsidRPr="00CE1253">
        <w:rPr>
          <w:lang w:eastAsia="lt-LT"/>
        </w:rPr>
        <w:t xml:space="preserve"> </w:t>
      </w:r>
      <w:r w:rsidR="002A5BE1" w:rsidRPr="00CE1253">
        <w:rPr>
          <w:lang w:eastAsia="lt-LT"/>
        </w:rPr>
        <w:t>Valstybės ar savivaldybės įstaigų veiklos sričių, kuriose egzistuoja didelė korupcijos pasireiškimo tiki</w:t>
      </w:r>
      <w:r w:rsidR="00476CC3" w:rsidRPr="00CE1253">
        <w:rPr>
          <w:lang w:eastAsia="lt-LT"/>
        </w:rPr>
        <w:t>mybė, nustatymo rekomendacija</w:t>
      </w:r>
      <w:r w:rsidR="00E06104" w:rsidRPr="00CE1253">
        <w:rPr>
          <w:lang w:eastAsia="lt-LT"/>
        </w:rPr>
        <w:t>s.</w:t>
      </w:r>
      <w:r w:rsidR="00E06104" w:rsidRPr="00CE1253">
        <w:rPr>
          <w:rStyle w:val="FootnoteReference"/>
          <w:lang w:eastAsia="lt-LT"/>
        </w:rPr>
        <w:footnoteReference w:id="8"/>
      </w:r>
    </w:p>
    <w:p w:rsidR="00FC1A51" w:rsidRPr="00CE1253" w:rsidRDefault="00FC1A51" w:rsidP="00423413">
      <w:pPr>
        <w:jc w:val="both"/>
        <w:rPr>
          <w:lang w:eastAsia="lt-LT"/>
        </w:rPr>
      </w:pPr>
    </w:p>
    <w:tbl>
      <w:tblPr>
        <w:tblStyle w:val="TableGrid"/>
        <w:tblW w:w="0" w:type="auto"/>
        <w:tblInd w:w="0" w:type="dxa"/>
        <w:tblLook w:val="04A0" w:firstRow="1" w:lastRow="0" w:firstColumn="1" w:lastColumn="0" w:noHBand="0" w:noVBand="1"/>
      </w:tblPr>
      <w:tblGrid>
        <w:gridCol w:w="556"/>
        <w:gridCol w:w="4471"/>
        <w:gridCol w:w="4602"/>
      </w:tblGrid>
      <w:tr w:rsidR="00134FDB" w:rsidRPr="00CE1253" w:rsidTr="00ED7E7E">
        <w:tc>
          <w:tcPr>
            <w:tcW w:w="556" w:type="dxa"/>
            <w:vMerge w:val="restart"/>
          </w:tcPr>
          <w:p w:rsidR="00751C98" w:rsidRPr="00CE1253" w:rsidRDefault="00751C98" w:rsidP="00751C98">
            <w:pPr>
              <w:jc w:val="both"/>
              <w:rPr>
                <w:lang w:eastAsia="lt-LT"/>
              </w:rPr>
            </w:pPr>
            <w:r w:rsidRPr="00CE1253">
              <w:rPr>
                <w:lang w:eastAsia="lt-LT"/>
              </w:rPr>
              <w:t>Eil. Nr.</w:t>
            </w:r>
          </w:p>
        </w:tc>
        <w:tc>
          <w:tcPr>
            <w:tcW w:w="4471" w:type="dxa"/>
          </w:tcPr>
          <w:p w:rsidR="00751C98" w:rsidRPr="00CE1253" w:rsidRDefault="00751C98" w:rsidP="00751C98">
            <w:pPr>
              <w:jc w:val="both"/>
              <w:rPr>
                <w:lang w:eastAsia="lt-LT"/>
              </w:rPr>
            </w:pPr>
            <w:r w:rsidRPr="00CE1253">
              <w:rPr>
                <w:lang w:eastAsia="lt-LT"/>
              </w:rPr>
              <w:t>Korupcijos rizikos veiksnio apibūdinimas</w:t>
            </w:r>
          </w:p>
        </w:tc>
        <w:tc>
          <w:tcPr>
            <w:tcW w:w="4602" w:type="dxa"/>
          </w:tcPr>
          <w:p w:rsidR="00751C98" w:rsidRPr="00CE1253" w:rsidRDefault="00751C98" w:rsidP="00751C98">
            <w:pPr>
              <w:jc w:val="both"/>
              <w:rPr>
                <w:lang w:eastAsia="lt-LT"/>
              </w:rPr>
            </w:pPr>
            <w:r w:rsidRPr="00CE1253">
              <w:rPr>
                <w:lang w:eastAsia="lt-LT"/>
              </w:rPr>
              <w:t>Įvertinimas</w:t>
            </w:r>
          </w:p>
        </w:tc>
      </w:tr>
      <w:tr w:rsidR="00751C98" w:rsidRPr="00CE1253" w:rsidTr="00ED7E7E">
        <w:tc>
          <w:tcPr>
            <w:tcW w:w="556" w:type="dxa"/>
            <w:vMerge/>
          </w:tcPr>
          <w:p w:rsidR="00751C98" w:rsidRPr="00CE1253" w:rsidRDefault="00751C98" w:rsidP="00751C98">
            <w:pPr>
              <w:jc w:val="both"/>
              <w:rPr>
                <w:lang w:eastAsia="lt-LT"/>
              </w:rPr>
            </w:pPr>
          </w:p>
        </w:tc>
        <w:tc>
          <w:tcPr>
            <w:tcW w:w="9073" w:type="dxa"/>
            <w:gridSpan w:val="2"/>
          </w:tcPr>
          <w:p w:rsidR="00751C98" w:rsidRPr="00CE1253" w:rsidRDefault="00ED7E7E" w:rsidP="00751C98">
            <w:pPr>
              <w:jc w:val="both"/>
              <w:rPr>
                <w:lang w:eastAsia="lt-LT"/>
              </w:rPr>
            </w:pPr>
            <w:r w:rsidRPr="00CE1253">
              <w:rPr>
                <w:b/>
                <w:bCs/>
                <w:lang w:eastAsia="lt-LT"/>
              </w:rPr>
              <w:t>Pagrindinės funkcijos yra kontrolės ar priežiūros vykdymas</w:t>
            </w:r>
          </w:p>
        </w:tc>
      </w:tr>
      <w:tr w:rsidR="00BC452A" w:rsidRPr="00CE1253" w:rsidTr="00F37D4A">
        <w:tc>
          <w:tcPr>
            <w:tcW w:w="556" w:type="dxa"/>
            <w:shd w:val="clear" w:color="auto" w:fill="auto"/>
            <w:vAlign w:val="center"/>
          </w:tcPr>
          <w:p w:rsidR="00751C98" w:rsidRPr="00CE1253" w:rsidRDefault="00751C98" w:rsidP="00751C98">
            <w:pPr>
              <w:jc w:val="both"/>
              <w:rPr>
                <w:lang w:eastAsia="lt-LT"/>
              </w:rPr>
            </w:pPr>
            <w:r w:rsidRPr="00CE1253">
              <w:rPr>
                <w:lang w:eastAsia="lt-LT"/>
              </w:rPr>
              <w:t>1.</w:t>
            </w:r>
          </w:p>
        </w:tc>
        <w:tc>
          <w:tcPr>
            <w:tcW w:w="4471" w:type="dxa"/>
            <w:shd w:val="clear" w:color="auto" w:fill="auto"/>
          </w:tcPr>
          <w:p w:rsidR="00751C98" w:rsidRPr="00CE1253" w:rsidRDefault="00ED7E7E" w:rsidP="00751C98">
            <w:pPr>
              <w:jc w:val="both"/>
              <w:rPr>
                <w:lang w:eastAsia="lt-LT"/>
              </w:rPr>
            </w:pPr>
            <w:r w:rsidRPr="00CE1253">
              <w:rPr>
                <w:i/>
                <w:lang w:eastAsia="lt-LT"/>
              </w:rPr>
              <w:t>Ar valstybės ar savivaldybės įstaiga įstatymų ir kitų teisės norminių aktų, suteikiančių įgaliojimus vykdyti kontrolės ir priežiūros funkcijas, pagrindu priėmė būtinus teisės aktus, nustatančius / detalizuojančius kontrolės / priežiūros veiksmų, procedūrų ar vykdymo formas, tvarką, periodiškumą?</w:t>
            </w:r>
          </w:p>
        </w:tc>
        <w:tc>
          <w:tcPr>
            <w:tcW w:w="4602" w:type="dxa"/>
            <w:shd w:val="clear" w:color="auto" w:fill="auto"/>
          </w:tcPr>
          <w:p w:rsidR="00751C98" w:rsidRPr="00CE1253" w:rsidRDefault="00751C98" w:rsidP="00751C98">
            <w:pPr>
              <w:jc w:val="both"/>
              <w:rPr>
                <w:lang w:eastAsia="lt-LT"/>
              </w:rPr>
            </w:pPr>
            <w:r w:rsidRPr="00CE1253">
              <w:rPr>
                <w:lang w:eastAsia="lt-LT"/>
              </w:rPr>
              <w:t>Taip.</w:t>
            </w:r>
          </w:p>
          <w:p w:rsidR="00751C98" w:rsidRPr="00CE1253" w:rsidRDefault="00CE1253" w:rsidP="00751C98">
            <w:pPr>
              <w:jc w:val="both"/>
              <w:rPr>
                <w:lang w:eastAsia="lt-LT"/>
              </w:rPr>
            </w:pPr>
            <w:r w:rsidRPr="00CE1253">
              <w:rPr>
                <w:lang w:eastAsia="lt-LT"/>
              </w:rPr>
              <w:t xml:space="preserve">Planinių ir neplaninių patikrinimų atlikimo </w:t>
            </w:r>
            <w:r w:rsidR="00751C98" w:rsidRPr="00CE1253">
              <w:rPr>
                <w:lang w:eastAsia="lt-LT"/>
              </w:rPr>
              <w:t>procedūros detaliai</w:t>
            </w:r>
            <w:r>
              <w:rPr>
                <w:lang w:eastAsia="lt-LT"/>
              </w:rPr>
              <w:t xml:space="preserve"> nurodytos Taisyklėse.</w:t>
            </w:r>
          </w:p>
        </w:tc>
      </w:tr>
      <w:tr w:rsidR="00BC452A" w:rsidRPr="00CE1253" w:rsidTr="00F37D4A">
        <w:tc>
          <w:tcPr>
            <w:tcW w:w="556" w:type="dxa"/>
            <w:shd w:val="clear" w:color="auto" w:fill="auto"/>
            <w:vAlign w:val="center"/>
          </w:tcPr>
          <w:p w:rsidR="00751C98" w:rsidRPr="00F37D4A" w:rsidRDefault="00751C98" w:rsidP="00751C98">
            <w:pPr>
              <w:jc w:val="both"/>
              <w:rPr>
                <w:lang w:eastAsia="lt-LT"/>
              </w:rPr>
            </w:pPr>
            <w:r w:rsidRPr="00F37D4A">
              <w:rPr>
                <w:lang w:eastAsia="lt-LT"/>
              </w:rPr>
              <w:t>2.</w:t>
            </w:r>
          </w:p>
        </w:tc>
        <w:tc>
          <w:tcPr>
            <w:tcW w:w="4471" w:type="dxa"/>
            <w:shd w:val="clear" w:color="auto" w:fill="auto"/>
          </w:tcPr>
          <w:p w:rsidR="00751C98" w:rsidRPr="00F37D4A" w:rsidRDefault="00ED7E7E" w:rsidP="00751C98">
            <w:pPr>
              <w:jc w:val="both"/>
              <w:rPr>
                <w:lang w:eastAsia="lt-LT"/>
              </w:rPr>
            </w:pPr>
            <w:r w:rsidRPr="00F37D4A">
              <w:rPr>
                <w:i/>
                <w:lang w:eastAsia="lt-LT"/>
              </w:rPr>
              <w:t>Ar valstybės ar savivaldybės įstaigos priimtuose teisės aktuose numatyti konkretūs kontrolės / priežiūros funkcijas vykdantys / sprendimus priimantys subjektai (įstaigos padaliniai, atskiri darbuotojai), išsamiai ir tiksliai apibrėžtos jų teisės ir pareigos? Ar šiems subjektams nesuteikti per platūs įgaliojimai veikti savo nuožiūra?</w:t>
            </w:r>
          </w:p>
        </w:tc>
        <w:tc>
          <w:tcPr>
            <w:tcW w:w="4602" w:type="dxa"/>
            <w:shd w:val="clear" w:color="auto" w:fill="auto"/>
          </w:tcPr>
          <w:p w:rsidR="00751C98" w:rsidRPr="00F37D4A" w:rsidRDefault="00751C98" w:rsidP="00751C98">
            <w:pPr>
              <w:jc w:val="both"/>
              <w:rPr>
                <w:lang w:eastAsia="lt-LT"/>
              </w:rPr>
            </w:pPr>
            <w:r w:rsidRPr="00F37D4A">
              <w:rPr>
                <w:lang w:eastAsia="lt-LT"/>
              </w:rPr>
              <w:t>Taip.</w:t>
            </w:r>
          </w:p>
          <w:p w:rsidR="00751C98" w:rsidRPr="00F37D4A" w:rsidRDefault="0057275A" w:rsidP="00F37D4A">
            <w:pPr>
              <w:jc w:val="both"/>
              <w:rPr>
                <w:lang w:eastAsia="lt-LT"/>
              </w:rPr>
            </w:pPr>
            <w:r w:rsidRPr="00F37D4A">
              <w:rPr>
                <w:lang w:eastAsia="lt-LT"/>
              </w:rPr>
              <w:t xml:space="preserve">Taisyklių 21 punkte numatyta, kad patikrinimus atlieka VGI Saugos ir sąveikos skyriaus vedėjo paskirti VGI darbuotojai. VGI Saugos ir sąveikos skyriaus nuostatuose ir konkrečių darbuotojų pareigybių aprašymuose numatyta, kad šie darbuotojai atlieka planinius ir neplaninius patikrinimus. </w:t>
            </w:r>
            <w:r w:rsidR="00F37D4A" w:rsidRPr="00F37D4A">
              <w:rPr>
                <w:lang w:eastAsia="lt-LT"/>
              </w:rPr>
              <w:t>Taisyklių 31 punkte yra apibrėžtos patikrinimą atliekančių darbuotojų teisės ir pareigos. Be to, Taisyklėse nustatyta</w:t>
            </w:r>
            <w:r w:rsidR="00F37D4A" w:rsidRPr="00F37D4A">
              <w:rPr>
                <w:rStyle w:val="FootnoteReference"/>
                <w:lang w:eastAsia="lt-LT"/>
              </w:rPr>
              <w:footnoteReference w:id="9"/>
            </w:r>
            <w:r w:rsidR="00F37D4A" w:rsidRPr="00F37D4A">
              <w:rPr>
                <w:lang w:eastAsia="lt-LT"/>
              </w:rPr>
              <w:t xml:space="preserve">, kad patikrinimai atliekami vadovaujantis kontroliniais klausimynais. </w:t>
            </w:r>
          </w:p>
        </w:tc>
      </w:tr>
      <w:tr w:rsidR="00BC452A" w:rsidRPr="00CE1253" w:rsidTr="00F37D4A">
        <w:tc>
          <w:tcPr>
            <w:tcW w:w="556" w:type="dxa"/>
            <w:shd w:val="clear" w:color="auto" w:fill="auto"/>
            <w:vAlign w:val="center"/>
          </w:tcPr>
          <w:p w:rsidR="00751C98" w:rsidRPr="00CE1253" w:rsidRDefault="00751C98" w:rsidP="00751C98">
            <w:pPr>
              <w:jc w:val="both"/>
              <w:rPr>
                <w:lang w:eastAsia="lt-LT"/>
              </w:rPr>
            </w:pPr>
            <w:r w:rsidRPr="00CE1253">
              <w:rPr>
                <w:lang w:eastAsia="lt-LT"/>
              </w:rPr>
              <w:t>3.</w:t>
            </w:r>
          </w:p>
        </w:tc>
        <w:tc>
          <w:tcPr>
            <w:tcW w:w="4471" w:type="dxa"/>
            <w:shd w:val="clear" w:color="auto" w:fill="auto"/>
          </w:tcPr>
          <w:p w:rsidR="00751C98" w:rsidRPr="00B65710" w:rsidRDefault="00ED7E7E" w:rsidP="00ED7E7E">
            <w:pPr>
              <w:jc w:val="both"/>
              <w:rPr>
                <w:lang w:eastAsia="lt-LT"/>
              </w:rPr>
            </w:pPr>
            <w:r w:rsidRPr="00B65710">
              <w:rPr>
                <w:i/>
                <w:lang w:eastAsia="lt-LT"/>
              </w:rPr>
              <w:t>Ar valstybės ar savivaldybės įstaigoje priimti teisės aktai, sprendimai, užtikrinantys Lietuvos Respublikos viešųjų ir privačių interesų derinimo valstybinėje tarnyboje įstatymo reikalavimų laikymąsi?</w:t>
            </w:r>
          </w:p>
        </w:tc>
        <w:tc>
          <w:tcPr>
            <w:tcW w:w="4602" w:type="dxa"/>
            <w:shd w:val="clear" w:color="auto" w:fill="auto"/>
          </w:tcPr>
          <w:p w:rsidR="00751C98" w:rsidRPr="00B65710" w:rsidRDefault="0057275A" w:rsidP="00751C98">
            <w:pPr>
              <w:jc w:val="both"/>
              <w:rPr>
                <w:lang w:eastAsia="lt-LT"/>
              </w:rPr>
            </w:pPr>
            <w:r w:rsidRPr="00B65710">
              <w:rPr>
                <w:lang w:eastAsia="lt-LT"/>
              </w:rPr>
              <w:t>Taip.</w:t>
            </w:r>
          </w:p>
          <w:p w:rsidR="00751C98" w:rsidRPr="00B65710" w:rsidRDefault="0057275A" w:rsidP="0057275A">
            <w:pPr>
              <w:jc w:val="both"/>
              <w:rPr>
                <w:lang w:eastAsia="lt-LT"/>
              </w:rPr>
            </w:pPr>
            <w:r w:rsidRPr="00B65710">
              <w:rPr>
                <w:lang w:eastAsia="lt-LT"/>
              </w:rPr>
              <w:t>Taisyklių 23 punkte numatyta, kad patikrinimo grupės nariai turi būti pasirašę nešališkumo deklaracijas ir konfidencialumo pasižadėjimus</w:t>
            </w:r>
            <w:r w:rsidRPr="00B65710">
              <w:rPr>
                <w:rStyle w:val="FootnoteReference"/>
                <w:lang w:eastAsia="lt-LT"/>
              </w:rPr>
              <w:footnoteReference w:id="10"/>
            </w:r>
            <w:r w:rsidRPr="00B65710">
              <w:rPr>
                <w:lang w:eastAsia="lt-LT"/>
              </w:rPr>
              <w:t>.</w:t>
            </w:r>
          </w:p>
          <w:p w:rsidR="0057275A" w:rsidRPr="00B65710" w:rsidRDefault="0057275A" w:rsidP="0057275A">
            <w:pPr>
              <w:jc w:val="both"/>
              <w:rPr>
                <w:lang w:eastAsia="lt-LT"/>
              </w:rPr>
            </w:pPr>
            <w:r w:rsidRPr="00B65710">
              <w:rPr>
                <w:lang w:eastAsia="lt-LT"/>
              </w:rPr>
              <w:t>Taip pat Vidaus darbo taisyklių 54 – 54</w:t>
            </w:r>
            <w:r w:rsidRPr="00B65710">
              <w:rPr>
                <w:vertAlign w:val="superscript"/>
                <w:lang w:eastAsia="lt-LT"/>
              </w:rPr>
              <w:t>2</w:t>
            </w:r>
            <w:r w:rsidRPr="00B65710">
              <w:rPr>
                <w:lang w:eastAsia="lt-LT"/>
              </w:rPr>
              <w:t xml:space="preserve"> punktuose nustatyta, kad darbuotojai privalo elgtis nepriekaištingai, reglamentuota dovanų priėmimo ir nepriėmimo tvarka, jeigu dėl to gali kilti interesų konfliktas, </w:t>
            </w:r>
            <w:r w:rsidR="00B65710" w:rsidRPr="00B65710">
              <w:rPr>
                <w:lang w:eastAsia="lt-LT"/>
              </w:rPr>
              <w:t xml:space="preserve">bei </w:t>
            </w:r>
            <w:r w:rsidRPr="00B65710">
              <w:rPr>
                <w:lang w:eastAsia="lt-LT"/>
              </w:rPr>
              <w:t>kokių veiksmų turi imtis darbuotojai, jeigu</w:t>
            </w:r>
            <w:r w:rsidR="00B65710" w:rsidRPr="00B65710">
              <w:rPr>
                <w:lang w:eastAsia="lt-LT"/>
              </w:rPr>
              <w:t xml:space="preserve"> priėmė Lietuvos Respublikos viešųjų ir privačių interesų derinimo valstybinėje tarnyboje įstatymo leidžiamą dovaną.</w:t>
            </w:r>
          </w:p>
        </w:tc>
      </w:tr>
      <w:tr w:rsidR="00BC452A" w:rsidRPr="00CE1253" w:rsidTr="00F37D4A">
        <w:tc>
          <w:tcPr>
            <w:tcW w:w="556" w:type="dxa"/>
            <w:shd w:val="clear" w:color="auto" w:fill="auto"/>
            <w:vAlign w:val="center"/>
          </w:tcPr>
          <w:p w:rsidR="00751C98" w:rsidRPr="00F37D4A" w:rsidRDefault="00751C98" w:rsidP="00751C98">
            <w:pPr>
              <w:jc w:val="both"/>
              <w:rPr>
                <w:lang w:eastAsia="lt-LT"/>
              </w:rPr>
            </w:pPr>
            <w:r w:rsidRPr="00F37D4A">
              <w:rPr>
                <w:lang w:eastAsia="lt-LT"/>
              </w:rPr>
              <w:t>4.</w:t>
            </w:r>
          </w:p>
        </w:tc>
        <w:tc>
          <w:tcPr>
            <w:tcW w:w="4471" w:type="dxa"/>
            <w:shd w:val="clear" w:color="auto" w:fill="auto"/>
          </w:tcPr>
          <w:p w:rsidR="00751C98" w:rsidRPr="00F37D4A" w:rsidRDefault="00ED7E7E" w:rsidP="00751C98">
            <w:pPr>
              <w:jc w:val="both"/>
              <w:rPr>
                <w:lang w:eastAsia="lt-LT"/>
              </w:rPr>
            </w:pPr>
            <w:r w:rsidRPr="00F37D4A">
              <w:rPr>
                <w:i/>
                <w:lang w:eastAsia="lt-LT"/>
              </w:rPr>
              <w:t xml:space="preserve">Ar valstybės ar savivaldybės įstaigos priimtuose teisės aktuose įtvirtinta konkreti </w:t>
            </w:r>
            <w:r w:rsidRPr="00F37D4A">
              <w:rPr>
                <w:i/>
                <w:lang w:eastAsia="lt-LT"/>
              </w:rPr>
              <w:lastRenderedPageBreak/>
              <w:t>ir tiksli sprendimų priėmimo procedūra (pvz.: sprendimų priėmimo principai, kriterijai, terminai) vykdant kontrolės / priežiūros funkcijas?</w:t>
            </w:r>
          </w:p>
        </w:tc>
        <w:tc>
          <w:tcPr>
            <w:tcW w:w="4602" w:type="dxa"/>
            <w:shd w:val="clear" w:color="auto" w:fill="auto"/>
          </w:tcPr>
          <w:p w:rsidR="00751C98" w:rsidRPr="00F37D4A" w:rsidRDefault="00751C98" w:rsidP="00751C98">
            <w:pPr>
              <w:jc w:val="both"/>
              <w:rPr>
                <w:lang w:eastAsia="lt-LT"/>
              </w:rPr>
            </w:pPr>
            <w:r w:rsidRPr="00F37D4A">
              <w:rPr>
                <w:lang w:eastAsia="lt-LT"/>
              </w:rPr>
              <w:lastRenderedPageBreak/>
              <w:t>Taip.</w:t>
            </w:r>
          </w:p>
          <w:p w:rsidR="00751C98" w:rsidRPr="00F37D4A" w:rsidRDefault="00F37D4A" w:rsidP="00F37D4A">
            <w:pPr>
              <w:jc w:val="both"/>
              <w:rPr>
                <w:lang w:eastAsia="lt-LT"/>
              </w:rPr>
            </w:pPr>
            <w:r w:rsidRPr="00F37D4A">
              <w:rPr>
                <w:lang w:eastAsia="lt-LT"/>
              </w:rPr>
              <w:lastRenderedPageBreak/>
              <w:t>Planinių ir neplaninių patikrinimų atlikimų tvarka, kontrolinių klausimynų bei patikrinimo aktų priėmimo tvarka bei vykdomų procesų terminai yra išsamiai reglamentuoti Taisyklių IV skyriuje.</w:t>
            </w:r>
          </w:p>
        </w:tc>
      </w:tr>
      <w:tr w:rsidR="00BC452A" w:rsidRPr="00CE1253" w:rsidTr="00F37D4A">
        <w:tc>
          <w:tcPr>
            <w:tcW w:w="556" w:type="dxa"/>
            <w:shd w:val="clear" w:color="auto" w:fill="auto"/>
            <w:vAlign w:val="center"/>
          </w:tcPr>
          <w:p w:rsidR="00751C98" w:rsidRPr="00CE1253" w:rsidRDefault="00751C98" w:rsidP="00751C98">
            <w:pPr>
              <w:jc w:val="both"/>
              <w:rPr>
                <w:lang w:eastAsia="lt-LT"/>
              </w:rPr>
            </w:pPr>
            <w:r w:rsidRPr="00CE1253">
              <w:rPr>
                <w:lang w:eastAsia="lt-LT"/>
              </w:rPr>
              <w:lastRenderedPageBreak/>
              <w:t>5.</w:t>
            </w:r>
          </w:p>
        </w:tc>
        <w:tc>
          <w:tcPr>
            <w:tcW w:w="4471" w:type="dxa"/>
            <w:shd w:val="clear" w:color="auto" w:fill="auto"/>
          </w:tcPr>
          <w:p w:rsidR="00751C98" w:rsidRPr="00B65710" w:rsidRDefault="00ED7E7E" w:rsidP="00751C98">
            <w:pPr>
              <w:jc w:val="both"/>
              <w:rPr>
                <w:lang w:eastAsia="lt-LT"/>
              </w:rPr>
            </w:pPr>
            <w:r w:rsidRPr="00B65710">
              <w:rPr>
                <w:i/>
                <w:lang w:eastAsia="lt-LT"/>
              </w:rPr>
              <w:t>Ar valstybės ar savivaldybės įstaigos priimtuose teisės aktuose aiškiai atskirtos sprendimų priėmimo ir kontrolės / priežiūros vykdymo funkcijos?</w:t>
            </w:r>
          </w:p>
        </w:tc>
        <w:tc>
          <w:tcPr>
            <w:tcW w:w="4602" w:type="dxa"/>
            <w:shd w:val="clear" w:color="auto" w:fill="auto"/>
          </w:tcPr>
          <w:p w:rsidR="003B70D6" w:rsidRPr="00B65710" w:rsidRDefault="003B70D6" w:rsidP="003B70D6">
            <w:pPr>
              <w:jc w:val="both"/>
              <w:rPr>
                <w:lang w:eastAsia="lt-LT"/>
              </w:rPr>
            </w:pPr>
            <w:r w:rsidRPr="00B65710">
              <w:rPr>
                <w:lang w:eastAsia="lt-LT"/>
              </w:rPr>
              <w:t>Taip.</w:t>
            </w:r>
          </w:p>
          <w:p w:rsidR="00751C98" w:rsidRPr="00B65710" w:rsidRDefault="003B70D6" w:rsidP="00B65710">
            <w:pPr>
              <w:jc w:val="both"/>
              <w:rPr>
                <w:lang w:eastAsia="lt-LT"/>
              </w:rPr>
            </w:pPr>
            <w:r w:rsidRPr="00B65710">
              <w:rPr>
                <w:lang w:eastAsia="lt-LT"/>
              </w:rPr>
              <w:t xml:space="preserve">Vadovaujantis VGI skyrių nuostatais, kuriuose tiesiogiai apibrėžtos skyrių darbuotojų pareigos ir atsakomybės,  </w:t>
            </w:r>
            <w:r w:rsidR="00B65710" w:rsidRPr="00B65710">
              <w:rPr>
                <w:lang w:eastAsia="lt-LT"/>
              </w:rPr>
              <w:t>planinius ir neplaninius patikrinimus gali atlikti</w:t>
            </w:r>
            <w:r w:rsidRPr="00B65710">
              <w:rPr>
                <w:lang w:eastAsia="lt-LT"/>
              </w:rPr>
              <w:t xml:space="preserve"> tik VGI </w:t>
            </w:r>
            <w:r w:rsidR="00B65710" w:rsidRPr="00B65710">
              <w:rPr>
                <w:lang w:eastAsia="lt-LT"/>
              </w:rPr>
              <w:t>Saugos ir sąveikos skyriaus specialistai</w:t>
            </w:r>
            <w:r w:rsidRPr="00B65710">
              <w:rPr>
                <w:lang w:eastAsia="lt-LT"/>
              </w:rPr>
              <w:t xml:space="preserve">. Vadovaujantis VGI Saugos ir sąveikos skyriaus nuostatais, šio skyriaus darbuotojai yra tiesiogiai atsakingi už geležinkelio įmonių (vežėjų) veiklos sąlygų laikymosi priežiūrą </w:t>
            </w:r>
            <w:r w:rsidR="00B65710" w:rsidRPr="00B65710">
              <w:rPr>
                <w:lang w:eastAsia="lt-LT"/>
              </w:rPr>
              <w:t xml:space="preserve">ir, prireikus, sankcijų taikymą, todėl negali dalyvauti administracinių paslaugų sprendimo priėmimo procesuose. </w:t>
            </w:r>
          </w:p>
        </w:tc>
      </w:tr>
      <w:tr w:rsidR="003B70D6" w:rsidRPr="00CE1253" w:rsidTr="00F37D4A">
        <w:tc>
          <w:tcPr>
            <w:tcW w:w="556" w:type="dxa"/>
            <w:shd w:val="clear" w:color="auto" w:fill="auto"/>
            <w:vAlign w:val="center"/>
          </w:tcPr>
          <w:p w:rsidR="003B70D6" w:rsidRPr="00F37D4A" w:rsidRDefault="003B70D6" w:rsidP="003B70D6">
            <w:pPr>
              <w:jc w:val="both"/>
              <w:rPr>
                <w:lang w:eastAsia="lt-LT"/>
              </w:rPr>
            </w:pPr>
            <w:r w:rsidRPr="00F37D4A">
              <w:rPr>
                <w:lang w:eastAsia="lt-LT"/>
              </w:rPr>
              <w:t>6.</w:t>
            </w:r>
          </w:p>
        </w:tc>
        <w:tc>
          <w:tcPr>
            <w:tcW w:w="4471" w:type="dxa"/>
            <w:shd w:val="clear" w:color="auto" w:fill="auto"/>
          </w:tcPr>
          <w:p w:rsidR="003B70D6" w:rsidRPr="00F37D4A" w:rsidRDefault="003B70D6" w:rsidP="003B70D6">
            <w:pPr>
              <w:jc w:val="both"/>
              <w:rPr>
                <w:lang w:eastAsia="lt-LT"/>
              </w:rPr>
            </w:pPr>
            <w:r w:rsidRPr="00F37D4A">
              <w:rPr>
                <w:i/>
                <w:lang w:eastAsia="lt-LT"/>
              </w:rPr>
              <w:t xml:space="preserve">Ar valstybės ar savivaldybės įstaigos teisės aktai reglamentuoja kontrolės / priežiūros funkcijas vykdančių subjektų veiklos ir sprendimų priėmimo vidaus kontrolės (prevencinės, einamosios, </w:t>
            </w:r>
            <w:proofErr w:type="spellStart"/>
            <w:r w:rsidRPr="00F37D4A">
              <w:rPr>
                <w:i/>
                <w:lang w:eastAsia="lt-LT"/>
              </w:rPr>
              <w:t>paskesniosios</w:t>
            </w:r>
            <w:proofErr w:type="spellEnd"/>
            <w:r w:rsidRPr="00F37D4A">
              <w:rPr>
                <w:i/>
                <w:lang w:eastAsia="lt-LT"/>
              </w:rPr>
              <w:t>) procedūras? Ar tokia kontrolė yra vykdoma, ar ji pakankamai veiksminga?</w:t>
            </w:r>
          </w:p>
        </w:tc>
        <w:tc>
          <w:tcPr>
            <w:tcW w:w="4602" w:type="dxa"/>
            <w:shd w:val="clear" w:color="auto" w:fill="auto"/>
          </w:tcPr>
          <w:p w:rsidR="003B70D6" w:rsidRPr="00F37D4A" w:rsidRDefault="003B70D6" w:rsidP="003B70D6">
            <w:pPr>
              <w:jc w:val="both"/>
              <w:rPr>
                <w:lang w:eastAsia="lt-LT"/>
              </w:rPr>
            </w:pPr>
            <w:r w:rsidRPr="00F37D4A">
              <w:rPr>
                <w:lang w:eastAsia="lt-LT"/>
              </w:rPr>
              <w:t>Taip.</w:t>
            </w:r>
          </w:p>
          <w:p w:rsidR="00F37D4A" w:rsidRPr="00F37D4A" w:rsidRDefault="006478D5" w:rsidP="00F37D4A">
            <w:pPr>
              <w:jc w:val="both"/>
              <w:rPr>
                <w:lang w:eastAsia="lt-LT"/>
              </w:rPr>
            </w:pPr>
            <w:r w:rsidRPr="00F37D4A">
              <w:rPr>
                <w:lang w:eastAsia="lt-LT"/>
              </w:rPr>
              <w:t>Vadovaujantis VGI viršininko įsakymu</w:t>
            </w:r>
            <w:r w:rsidRPr="00F37D4A">
              <w:rPr>
                <w:rStyle w:val="FootnoteReference"/>
                <w:lang w:eastAsia="lt-LT"/>
              </w:rPr>
              <w:footnoteReference w:id="11"/>
            </w:r>
            <w:r w:rsidRPr="00F37D4A">
              <w:rPr>
                <w:lang w:eastAsia="lt-LT"/>
              </w:rPr>
              <w:t xml:space="preserve"> bei planu</w:t>
            </w:r>
            <w:r w:rsidRPr="00F37D4A">
              <w:rPr>
                <w:rStyle w:val="FootnoteReference"/>
                <w:lang w:eastAsia="lt-LT"/>
              </w:rPr>
              <w:footnoteReference w:id="12"/>
            </w:r>
            <w:r w:rsidRPr="00F37D4A">
              <w:rPr>
                <w:lang w:eastAsia="lt-LT"/>
              </w:rPr>
              <w:t xml:space="preserve"> </w:t>
            </w:r>
            <w:r w:rsidR="003B70D6" w:rsidRPr="00F37D4A">
              <w:rPr>
                <w:lang w:eastAsia="lt-LT"/>
              </w:rPr>
              <w:t>VGI yra vykdoma</w:t>
            </w:r>
            <w:r w:rsidRPr="00F37D4A">
              <w:rPr>
                <w:lang w:eastAsia="lt-LT"/>
              </w:rPr>
              <w:t xml:space="preserve"> VGI teikiamų</w:t>
            </w:r>
            <w:r w:rsidR="003B70D6" w:rsidRPr="00F37D4A">
              <w:rPr>
                <w:lang w:eastAsia="lt-LT"/>
              </w:rPr>
              <w:t xml:space="preserve"> administracinių paslaugų ir kitų procesų peržiūra</w:t>
            </w:r>
            <w:r w:rsidRPr="00F37D4A">
              <w:rPr>
                <w:lang w:eastAsia="lt-LT"/>
              </w:rPr>
              <w:t xml:space="preserve">. Planinių ir neplaninių patikrinimų atlikimo procedūros buvo įvertintos 2017 m. </w:t>
            </w:r>
            <w:r w:rsidR="00F37D4A" w:rsidRPr="00F37D4A">
              <w:rPr>
                <w:lang w:eastAsia="lt-LT"/>
              </w:rPr>
              <w:t xml:space="preserve">gegužės – </w:t>
            </w:r>
            <w:r w:rsidRPr="00F37D4A">
              <w:rPr>
                <w:lang w:eastAsia="lt-LT"/>
              </w:rPr>
              <w:t>birželio mėnes</w:t>
            </w:r>
            <w:r w:rsidR="00F37D4A" w:rsidRPr="00F37D4A">
              <w:rPr>
                <w:lang w:eastAsia="lt-LT"/>
              </w:rPr>
              <w:t>iais</w:t>
            </w:r>
            <w:r w:rsidRPr="00F37D4A">
              <w:rPr>
                <w:lang w:eastAsia="lt-LT"/>
              </w:rPr>
              <w:t>.</w:t>
            </w:r>
            <w:r w:rsidRPr="00F37D4A">
              <w:rPr>
                <w:rStyle w:val="FootnoteReference"/>
                <w:lang w:eastAsia="lt-LT"/>
              </w:rPr>
              <w:footnoteReference w:id="13"/>
            </w:r>
            <w:r w:rsidRPr="00F37D4A">
              <w:rPr>
                <w:lang w:eastAsia="lt-LT"/>
              </w:rPr>
              <w:t xml:space="preserve"> </w:t>
            </w:r>
          </w:p>
        </w:tc>
      </w:tr>
      <w:tr w:rsidR="003B70D6" w:rsidRPr="00CE1253" w:rsidTr="00F37D4A">
        <w:tc>
          <w:tcPr>
            <w:tcW w:w="556" w:type="dxa"/>
            <w:shd w:val="clear" w:color="auto" w:fill="auto"/>
            <w:vAlign w:val="center"/>
          </w:tcPr>
          <w:p w:rsidR="003B70D6" w:rsidRPr="00CE1253" w:rsidRDefault="003B70D6" w:rsidP="003B70D6">
            <w:pPr>
              <w:jc w:val="both"/>
              <w:rPr>
                <w:lang w:eastAsia="lt-LT"/>
              </w:rPr>
            </w:pPr>
            <w:r w:rsidRPr="00CE1253">
              <w:rPr>
                <w:lang w:eastAsia="lt-LT"/>
              </w:rPr>
              <w:t>7.</w:t>
            </w:r>
          </w:p>
        </w:tc>
        <w:tc>
          <w:tcPr>
            <w:tcW w:w="4471" w:type="dxa"/>
            <w:shd w:val="clear" w:color="auto" w:fill="auto"/>
          </w:tcPr>
          <w:p w:rsidR="003B70D6" w:rsidRPr="000F6ED1" w:rsidRDefault="003B70D6" w:rsidP="003B70D6">
            <w:pPr>
              <w:jc w:val="both"/>
              <w:rPr>
                <w:lang w:eastAsia="lt-LT"/>
              </w:rPr>
            </w:pPr>
            <w:r w:rsidRPr="000F6ED1">
              <w:rPr>
                <w:i/>
                <w:lang w:eastAsia="lt-LT"/>
              </w:rPr>
              <w:t>Ar valstybės ar savivaldybės įstaigos priimti vidaus teisės aktai reglamentuoja kontrolės / priežiūros funkcijas vykdančių subjektų veiklos ir sprendimų apskundimo tvarką?</w:t>
            </w:r>
          </w:p>
        </w:tc>
        <w:tc>
          <w:tcPr>
            <w:tcW w:w="4602" w:type="dxa"/>
            <w:shd w:val="clear" w:color="auto" w:fill="auto"/>
          </w:tcPr>
          <w:p w:rsidR="003B70D6" w:rsidRPr="000F6ED1" w:rsidRDefault="003B70D6" w:rsidP="003B70D6">
            <w:pPr>
              <w:jc w:val="both"/>
              <w:rPr>
                <w:lang w:eastAsia="lt-LT"/>
              </w:rPr>
            </w:pPr>
            <w:r w:rsidRPr="000F6ED1">
              <w:rPr>
                <w:lang w:eastAsia="lt-LT"/>
              </w:rPr>
              <w:t>Taip.</w:t>
            </w:r>
          </w:p>
          <w:p w:rsidR="003B70D6" w:rsidRPr="000F6ED1" w:rsidRDefault="00A23CB6" w:rsidP="000F6ED1">
            <w:pPr>
              <w:jc w:val="both"/>
              <w:rPr>
                <w:lang w:eastAsia="lt-LT"/>
              </w:rPr>
            </w:pPr>
            <w:r w:rsidRPr="000F6ED1">
              <w:rPr>
                <w:lang w:eastAsia="lt-LT"/>
              </w:rPr>
              <w:t xml:space="preserve">Vadovaujantis Taisyklių 81 punktu, </w:t>
            </w:r>
            <w:r w:rsidRPr="000F6ED1">
              <w:rPr>
                <w:color w:val="000000"/>
              </w:rPr>
              <w:t>VGI priimti sprendimai, susiję su Taisyklių taikymu, ir neveikimas gali būti skundžiami Lietuvos Respublikos administracinių bylų teisenos įstatyme nustatyta tvarka.</w:t>
            </w:r>
            <w:r w:rsidRPr="000F6ED1">
              <w:rPr>
                <w:lang w:eastAsia="lt-LT"/>
              </w:rPr>
              <w:t xml:space="preserve"> </w:t>
            </w:r>
            <w:r w:rsidR="003B70D6" w:rsidRPr="000F6ED1">
              <w:rPr>
                <w:lang w:eastAsia="lt-LT"/>
              </w:rPr>
              <w:t>Be to, pagal Lietuvos Respublikos viešojo administravimo įstatymą</w:t>
            </w:r>
            <w:r w:rsidR="003B70D6" w:rsidRPr="000F6ED1">
              <w:rPr>
                <w:vertAlign w:val="superscript"/>
                <w:lang w:eastAsia="lt-LT"/>
              </w:rPr>
              <w:footnoteReference w:id="14"/>
            </w:r>
            <w:r w:rsidR="003B70D6" w:rsidRPr="000F6ED1">
              <w:rPr>
                <w:lang w:eastAsia="lt-LT"/>
              </w:rPr>
              <w:t xml:space="preserve"> visuose VGI sprendimuose nurodoma sprendimo apskundimo tvarka.</w:t>
            </w:r>
          </w:p>
        </w:tc>
      </w:tr>
      <w:tr w:rsidR="00BC452A" w:rsidRPr="00CE1253" w:rsidTr="00F37D4A">
        <w:tc>
          <w:tcPr>
            <w:tcW w:w="556" w:type="dxa"/>
            <w:shd w:val="clear" w:color="auto" w:fill="auto"/>
            <w:vAlign w:val="center"/>
          </w:tcPr>
          <w:p w:rsidR="00751C98" w:rsidRPr="00CE1253" w:rsidRDefault="00751C98" w:rsidP="00751C98">
            <w:pPr>
              <w:jc w:val="both"/>
              <w:rPr>
                <w:lang w:eastAsia="lt-LT"/>
              </w:rPr>
            </w:pPr>
            <w:r w:rsidRPr="00CE1253">
              <w:rPr>
                <w:lang w:eastAsia="lt-LT"/>
              </w:rPr>
              <w:t>8.</w:t>
            </w:r>
          </w:p>
        </w:tc>
        <w:tc>
          <w:tcPr>
            <w:tcW w:w="4471" w:type="dxa"/>
            <w:shd w:val="clear" w:color="auto" w:fill="auto"/>
          </w:tcPr>
          <w:p w:rsidR="00751C98" w:rsidRPr="00CE1253" w:rsidRDefault="00215953" w:rsidP="00751C98">
            <w:pPr>
              <w:jc w:val="both"/>
              <w:rPr>
                <w:lang w:eastAsia="lt-LT"/>
              </w:rPr>
            </w:pPr>
            <w:r w:rsidRPr="00CE1253">
              <w:rPr>
                <w:i/>
                <w:lang w:eastAsia="lt-LT"/>
              </w:rPr>
              <w:t>Ar valstybės ar savivaldybės įstaigoje buvo gauta asmenų skundų, pranešimų, kitokio pobūdžio informacijos dėl kontrolės / priežiūros subjektų veiklos / priimtų sprendimų teisėtumo, pagrįstumo? Ar buvo atliekamas tokios informacijos tyrimas?</w:t>
            </w:r>
          </w:p>
        </w:tc>
        <w:tc>
          <w:tcPr>
            <w:tcW w:w="4602" w:type="dxa"/>
            <w:shd w:val="clear" w:color="auto" w:fill="auto"/>
          </w:tcPr>
          <w:p w:rsidR="00751C98" w:rsidRPr="003B70D6" w:rsidRDefault="003B70D6" w:rsidP="00BC452A">
            <w:pPr>
              <w:jc w:val="both"/>
              <w:rPr>
                <w:lang w:eastAsia="lt-LT"/>
              </w:rPr>
            </w:pPr>
            <w:r w:rsidRPr="003B70D6">
              <w:rPr>
                <w:lang w:eastAsia="lt-LT"/>
              </w:rPr>
              <w:t>Ne.</w:t>
            </w:r>
          </w:p>
        </w:tc>
      </w:tr>
      <w:tr w:rsidR="003B70D6" w:rsidRPr="00751C98" w:rsidTr="00F37D4A">
        <w:tc>
          <w:tcPr>
            <w:tcW w:w="556" w:type="dxa"/>
            <w:shd w:val="clear" w:color="auto" w:fill="auto"/>
            <w:vAlign w:val="center"/>
          </w:tcPr>
          <w:p w:rsidR="003B70D6" w:rsidRPr="00A23CB6" w:rsidRDefault="003B70D6" w:rsidP="003B70D6">
            <w:pPr>
              <w:jc w:val="both"/>
              <w:rPr>
                <w:lang w:eastAsia="lt-LT"/>
              </w:rPr>
            </w:pPr>
            <w:r w:rsidRPr="00A23CB6">
              <w:rPr>
                <w:lang w:eastAsia="lt-LT"/>
              </w:rPr>
              <w:t>9.</w:t>
            </w:r>
          </w:p>
        </w:tc>
        <w:tc>
          <w:tcPr>
            <w:tcW w:w="4471" w:type="dxa"/>
            <w:shd w:val="clear" w:color="auto" w:fill="auto"/>
          </w:tcPr>
          <w:p w:rsidR="003B70D6" w:rsidRPr="00A23CB6" w:rsidRDefault="003B70D6" w:rsidP="003B70D6">
            <w:pPr>
              <w:jc w:val="both"/>
              <w:rPr>
                <w:lang w:eastAsia="lt-LT"/>
              </w:rPr>
            </w:pPr>
            <w:r w:rsidRPr="00A23CB6">
              <w:rPr>
                <w:i/>
                <w:lang w:eastAsia="lt-LT"/>
              </w:rPr>
              <w:t xml:space="preserve">Ar valstybės ar savivaldybės įstaigos priimti teisės aktai periodiškai peržiūrimi? Ar </w:t>
            </w:r>
            <w:r w:rsidRPr="00A23CB6">
              <w:rPr>
                <w:i/>
                <w:lang w:eastAsia="lt-LT"/>
              </w:rPr>
              <w:lastRenderedPageBreak/>
              <w:t>vykdomas nustatytų teisinio reglamentavimo spragų ar kolizijų taisymas?</w:t>
            </w:r>
          </w:p>
        </w:tc>
        <w:tc>
          <w:tcPr>
            <w:tcW w:w="4602" w:type="dxa"/>
            <w:shd w:val="clear" w:color="auto" w:fill="auto"/>
          </w:tcPr>
          <w:p w:rsidR="003B70D6" w:rsidRPr="00A23CB6" w:rsidRDefault="003B70D6" w:rsidP="003B70D6">
            <w:pPr>
              <w:jc w:val="both"/>
              <w:rPr>
                <w:lang w:eastAsia="lt-LT"/>
              </w:rPr>
            </w:pPr>
            <w:r w:rsidRPr="00A23CB6">
              <w:rPr>
                <w:lang w:eastAsia="lt-LT"/>
              </w:rPr>
              <w:lastRenderedPageBreak/>
              <w:t>Taip.</w:t>
            </w:r>
          </w:p>
          <w:p w:rsidR="003B70D6" w:rsidRPr="00A23CB6" w:rsidRDefault="00A23CB6" w:rsidP="00A23CB6">
            <w:pPr>
              <w:jc w:val="both"/>
              <w:rPr>
                <w:lang w:eastAsia="lt-LT"/>
              </w:rPr>
            </w:pPr>
            <w:r w:rsidRPr="00A23CB6">
              <w:rPr>
                <w:lang w:eastAsia="lt-LT"/>
              </w:rPr>
              <w:lastRenderedPageBreak/>
              <w:t xml:space="preserve">Vadovaujantis </w:t>
            </w:r>
            <w:r w:rsidR="003B70D6" w:rsidRPr="00A23CB6">
              <w:rPr>
                <w:lang w:eastAsia="lt-LT"/>
              </w:rPr>
              <w:t>VGI Teisės</w:t>
            </w:r>
            <w:r w:rsidRPr="00A23CB6">
              <w:rPr>
                <w:lang w:eastAsia="lt-LT"/>
              </w:rPr>
              <w:t xml:space="preserve"> skyriaus nuostatų 4.13 papunkčiu</w:t>
            </w:r>
            <w:r w:rsidR="003B70D6" w:rsidRPr="00A23CB6">
              <w:rPr>
                <w:lang w:eastAsia="lt-LT"/>
              </w:rPr>
              <w:t xml:space="preserve"> VGI Teisės skyrius, įgyvendindamas jam pavestus uždavinius, vykdo periodinę VGI veiklą reglamentuojančių ir VGI priimtų teisės aktų peržiūrą. Be to, </w:t>
            </w:r>
            <w:r w:rsidRPr="00A23CB6">
              <w:rPr>
                <w:lang w:eastAsia="lt-LT"/>
              </w:rPr>
              <w:t>Taisyklių 34</w:t>
            </w:r>
            <w:r w:rsidR="003B70D6" w:rsidRPr="00A23CB6">
              <w:rPr>
                <w:lang w:eastAsia="lt-LT"/>
              </w:rPr>
              <w:t xml:space="preserve"> punkte numatyta</w:t>
            </w:r>
            <w:r w:rsidRPr="00A23CB6">
              <w:rPr>
                <w:lang w:eastAsia="lt-LT"/>
              </w:rPr>
              <w:t>, kad kontroliniai klausimynai yra peržiūrimi ne rečiau kaip 2 kartus per metus. Pažymėtina ir tai, kad Taisyklės nuodugniai peržiūrėtos ir išdėstytos nauja redakcija 2017 m. gegužės 31 d.</w:t>
            </w:r>
            <w:r w:rsidRPr="00A23CB6">
              <w:rPr>
                <w:rStyle w:val="FootnoteReference"/>
                <w:lang w:eastAsia="lt-LT"/>
              </w:rPr>
              <w:footnoteReference w:id="15"/>
            </w:r>
          </w:p>
        </w:tc>
      </w:tr>
    </w:tbl>
    <w:p w:rsidR="00751C98" w:rsidRDefault="00751C98" w:rsidP="00423413">
      <w:pPr>
        <w:jc w:val="both"/>
        <w:rPr>
          <w:lang w:eastAsia="lt-LT"/>
        </w:rPr>
      </w:pPr>
    </w:p>
    <w:p w:rsidR="007208CF" w:rsidRDefault="00177E89" w:rsidP="000C7AFB">
      <w:pPr>
        <w:ind w:firstLine="720"/>
        <w:jc w:val="both"/>
      </w:pPr>
      <w:r>
        <w:t xml:space="preserve">Atsižvelgiant </w:t>
      </w:r>
      <w:r w:rsidR="007208CF">
        <w:t xml:space="preserve">į tai, kas išdėstyta, darytina išvada, kad </w:t>
      </w:r>
      <w:r w:rsidR="00EB5D56">
        <w:t xml:space="preserve">sąlygų korupcijos pasireiškimui, atliekant </w:t>
      </w:r>
      <w:r w:rsidR="00782481">
        <w:rPr>
          <w:lang w:eastAsia="lt-LT"/>
        </w:rPr>
        <w:t>planinius ir neplaninius</w:t>
      </w:r>
      <w:r w:rsidR="00782481" w:rsidRPr="00CE1253">
        <w:rPr>
          <w:lang w:eastAsia="lt-LT"/>
        </w:rPr>
        <w:t xml:space="preserve"> patikrinim</w:t>
      </w:r>
      <w:r w:rsidR="00782481">
        <w:rPr>
          <w:lang w:eastAsia="lt-LT"/>
        </w:rPr>
        <w:t>us</w:t>
      </w:r>
      <w:r w:rsidR="00EB5D56">
        <w:t>, nėra.</w:t>
      </w:r>
    </w:p>
    <w:p w:rsidR="00120F2E" w:rsidRDefault="00120F2E" w:rsidP="00120F2E">
      <w:pPr>
        <w:tabs>
          <w:tab w:val="left" w:pos="1080"/>
        </w:tabs>
        <w:jc w:val="both"/>
      </w:pPr>
    </w:p>
    <w:p w:rsidR="002D4B82" w:rsidRPr="0037493D" w:rsidRDefault="004F4E6A" w:rsidP="00DE2458">
      <w:pPr>
        <w:tabs>
          <w:tab w:val="left" w:pos="1080"/>
        </w:tabs>
        <w:jc w:val="both"/>
      </w:pPr>
      <w:r>
        <w:t>Teisės skyriaus vyriausioji specialistė</w:t>
      </w:r>
      <w:r w:rsidR="00120F2E">
        <w:tab/>
      </w:r>
      <w:r w:rsidR="00120F2E">
        <w:tab/>
      </w:r>
      <w:r w:rsidR="00120F2E">
        <w:tab/>
      </w:r>
      <w:r w:rsidR="00120F2E">
        <w:tab/>
      </w:r>
      <w:r w:rsidR="00120F2E">
        <w:tab/>
      </w:r>
      <w:r w:rsidR="00120F2E">
        <w:tab/>
      </w:r>
      <w:r>
        <w:t>Eglė Norkūnaitė</w:t>
      </w:r>
    </w:p>
    <w:sectPr w:rsidR="002D4B82" w:rsidRPr="0037493D" w:rsidSect="00134FDB">
      <w:headerReference w:type="first" r:id="rId8"/>
      <w:pgSz w:w="11907" w:h="16840" w:code="9"/>
      <w:pgMar w:top="1134" w:right="850" w:bottom="1134" w:left="1418"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8AB" w:rsidRDefault="003678AB">
      <w:r>
        <w:separator/>
      </w:r>
    </w:p>
  </w:endnote>
  <w:endnote w:type="continuationSeparator" w:id="0">
    <w:p w:rsidR="003678AB" w:rsidRDefault="0036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8AB" w:rsidRDefault="003678AB">
      <w:r>
        <w:separator/>
      </w:r>
    </w:p>
  </w:footnote>
  <w:footnote w:type="continuationSeparator" w:id="0">
    <w:p w:rsidR="003678AB" w:rsidRDefault="003678AB">
      <w:r>
        <w:continuationSeparator/>
      </w:r>
    </w:p>
  </w:footnote>
  <w:footnote w:id="1">
    <w:p w:rsidR="00F1048E" w:rsidRDefault="00F1048E">
      <w:pPr>
        <w:pStyle w:val="FootnoteText"/>
      </w:pPr>
      <w:r>
        <w:rPr>
          <w:rStyle w:val="FootnoteReference"/>
        </w:rPr>
        <w:footnoteRef/>
      </w:r>
      <w:r>
        <w:t xml:space="preserve"> Valstybinės geležinkelio inspekcijos prie Susisiekimo ministerijos 2017 m. birželio 26 d. raštas Nr. S-689 „Dėl korupcijos prevencijos programos įgyvendinimo priemonių“;</w:t>
      </w:r>
    </w:p>
  </w:footnote>
  <w:footnote w:id="2">
    <w:p w:rsidR="00F1048E" w:rsidRPr="008702CC" w:rsidRDefault="00F1048E" w:rsidP="00F1048E">
      <w:pPr>
        <w:pStyle w:val="FootnoteText"/>
        <w:jc w:val="both"/>
      </w:pPr>
      <w:r>
        <w:rPr>
          <w:rStyle w:val="FootnoteReference"/>
        </w:rPr>
        <w:footnoteRef/>
      </w:r>
      <w:r>
        <w:t xml:space="preserve"> Valstybinės geležinkelio inspekcijos prie Susisiekimo ministerijos viršininko 2010 m. gruodžio 27 d. įsakymas Nr. V-604 “Dėl Valstybinės geležinkelio inspekcijos prie Susisiekimo ministerijos atliekamų planinių ir neplaninių patikrinimų taisyklių patvirtinimo”</w:t>
      </w:r>
      <w:r w:rsidR="00EA0BBB">
        <w:t xml:space="preserve"> (toliau – Taisyklės)</w:t>
      </w:r>
      <w:r>
        <w:t xml:space="preserve">; </w:t>
      </w:r>
    </w:p>
  </w:footnote>
  <w:footnote w:id="3">
    <w:p w:rsidR="00F60293" w:rsidRDefault="00F60293">
      <w:pPr>
        <w:pStyle w:val="FootnoteText"/>
      </w:pPr>
      <w:r>
        <w:rPr>
          <w:rStyle w:val="FootnoteReference"/>
        </w:rPr>
        <w:footnoteRef/>
      </w:r>
      <w:r>
        <w:t xml:space="preserve"> Lietuvos Respublikos geležinkelių transporto kodekso </w:t>
      </w:r>
      <w:r w:rsidR="00EA0BBB">
        <w:t>10</w:t>
      </w:r>
      <w:r>
        <w:t xml:space="preserve"> straipsnio </w:t>
      </w:r>
      <w:r w:rsidR="00EA0BBB">
        <w:t>10</w:t>
      </w:r>
      <w:r>
        <w:t xml:space="preserve"> dalis</w:t>
      </w:r>
      <w:r w:rsidR="00EA0BBB">
        <w:t>;</w:t>
      </w:r>
    </w:p>
  </w:footnote>
  <w:footnote w:id="4">
    <w:p w:rsidR="00EA0BBB" w:rsidRDefault="00EA0BBB">
      <w:pPr>
        <w:pStyle w:val="FootnoteText"/>
      </w:pPr>
      <w:r>
        <w:rPr>
          <w:rStyle w:val="FootnoteReference"/>
        </w:rPr>
        <w:footnoteRef/>
      </w:r>
      <w:r>
        <w:t xml:space="preserve"> </w:t>
      </w:r>
      <w:r w:rsidRPr="00EA0BBB">
        <w:rPr>
          <w:lang w:eastAsia="lt-LT"/>
        </w:rPr>
        <w:t>Lietuvos Respublikos geležinkelių transporto eismo saugos įstatym</w:t>
      </w:r>
      <w:r>
        <w:rPr>
          <w:lang w:eastAsia="lt-LT"/>
        </w:rPr>
        <w:t>o 6 straipsnio 3 punktas;</w:t>
      </w:r>
    </w:p>
  </w:footnote>
  <w:footnote w:id="5">
    <w:p w:rsidR="00EA0BBB" w:rsidRDefault="00EA0BBB">
      <w:pPr>
        <w:pStyle w:val="FootnoteText"/>
      </w:pPr>
      <w:r>
        <w:rPr>
          <w:rStyle w:val="FootnoteReference"/>
        </w:rPr>
        <w:footnoteRef/>
      </w:r>
      <w:r>
        <w:t xml:space="preserve"> Taisyklių 3 punktas;</w:t>
      </w:r>
    </w:p>
  </w:footnote>
  <w:footnote w:id="6">
    <w:p w:rsidR="00275AFD" w:rsidRDefault="00275AFD" w:rsidP="00B94DD6">
      <w:pPr>
        <w:pStyle w:val="FootnoteText"/>
        <w:jc w:val="both"/>
      </w:pPr>
      <w:r>
        <w:rPr>
          <w:rStyle w:val="FootnoteReference"/>
        </w:rPr>
        <w:footnoteRef/>
      </w:r>
      <w:r>
        <w:t xml:space="preserve"> Lietuvos Respublikos korupcijos prevencijos įstatymo 6 </w:t>
      </w:r>
      <w:r w:rsidR="00264E9B">
        <w:t>straipsnio 4 dalies 2</w:t>
      </w:r>
      <w:r>
        <w:t xml:space="preserve"> punktas.</w:t>
      </w:r>
    </w:p>
  </w:footnote>
  <w:footnote w:id="7">
    <w:p w:rsidR="00DE2458" w:rsidRDefault="00DE2458" w:rsidP="00DE2458">
      <w:pPr>
        <w:pStyle w:val="FootnoteText"/>
        <w:jc w:val="both"/>
      </w:pPr>
      <w:r>
        <w:rPr>
          <w:rStyle w:val="FootnoteReference"/>
        </w:rPr>
        <w:footnoteRef/>
      </w:r>
      <w:r>
        <w:t xml:space="preserve"> VGI </w:t>
      </w:r>
      <w:r w:rsidRPr="00DE2458">
        <w:t>Saugos ir sąveikos skyriaus nuostatai, patvirtinti Valstybinės geležinkelio inspekcijos prie Susisiekimo ministerijos viršininko 2015 m. kovo 16 d. įsakymu Nr. V-</w:t>
      </w:r>
      <w:r>
        <w:t>4</w:t>
      </w:r>
      <w:r w:rsidRPr="00DE2458">
        <w:t xml:space="preserve">4 „Dėl Valstybinės geležinkelio inspekcijos prie Susisiekimo ministerijos Saugos ir sąveikos skyriaus nuostatų patvirtinimo“ (su vėlesniais pakeitimais); </w:t>
      </w:r>
    </w:p>
    <w:p w:rsidR="00DE2458" w:rsidRDefault="00DE2458" w:rsidP="00DE2458">
      <w:pPr>
        <w:pStyle w:val="FootnoteText"/>
        <w:jc w:val="both"/>
      </w:pPr>
      <w:r>
        <w:t xml:space="preserve">VGI Teisės skyriaus nuostatai, </w:t>
      </w:r>
      <w:r w:rsidRPr="00DE2458">
        <w:t>patvirtinti Valstybinės geležinkelio inspekcijos prie Susisiekimo ministerijos viršininko 201</w:t>
      </w:r>
      <w:r>
        <w:t>3</w:t>
      </w:r>
      <w:r w:rsidRPr="00DE2458">
        <w:t xml:space="preserve"> m. </w:t>
      </w:r>
      <w:r>
        <w:t>rugpjūčio 23</w:t>
      </w:r>
      <w:r w:rsidRPr="00DE2458">
        <w:t xml:space="preserve"> d. įsakymu Nr. V-</w:t>
      </w:r>
      <w:r>
        <w:t>526</w:t>
      </w:r>
      <w:r w:rsidRPr="00DE2458">
        <w:t xml:space="preserve"> „Dėl Valstybinės geležinkelio inspekcijos prie Susisiekimo ministerijos </w:t>
      </w:r>
      <w:r>
        <w:t>Teisės</w:t>
      </w:r>
      <w:r w:rsidRPr="00DE2458">
        <w:t xml:space="preserve"> skyriaus nuostatų patvirtinimo“</w:t>
      </w:r>
      <w:r w:rsidR="00A23CB6">
        <w:t xml:space="preserve"> (toliau – VGI Teisės skyriaus nuostatai)</w:t>
      </w:r>
      <w:r>
        <w:t xml:space="preserve">; </w:t>
      </w:r>
    </w:p>
    <w:p w:rsidR="00DE2458" w:rsidRPr="00DE2458" w:rsidRDefault="00DE2458" w:rsidP="00DE2458">
      <w:pPr>
        <w:pStyle w:val="FootnoteText"/>
        <w:jc w:val="both"/>
      </w:pPr>
      <w:r>
        <w:t xml:space="preserve">VGI Administracinių paslaugų skyriaus nuostatai, </w:t>
      </w:r>
      <w:r w:rsidRPr="00DE2458">
        <w:t>patvirtinti Valstybinės geležinkelio inspekcijos prie Susisiekimo ministerijos viršininko 201</w:t>
      </w:r>
      <w:r>
        <w:t>3</w:t>
      </w:r>
      <w:r w:rsidRPr="00DE2458">
        <w:t xml:space="preserve"> m. </w:t>
      </w:r>
      <w:r>
        <w:t>rugpjūčio 21</w:t>
      </w:r>
      <w:r w:rsidRPr="00DE2458">
        <w:t xml:space="preserve"> d. įsakymu Nr. V-</w:t>
      </w:r>
      <w:r>
        <w:t>524</w:t>
      </w:r>
      <w:r w:rsidRPr="00DE2458">
        <w:t xml:space="preserve"> „Dėl Valstybinės geležinkelio inspekcijos prie Susisiekimo ministerijos </w:t>
      </w:r>
      <w:r>
        <w:t>Administracinių paslaugų</w:t>
      </w:r>
      <w:r w:rsidRPr="00DE2458">
        <w:t xml:space="preserve"> skyriaus nuostatų patvirtinimo“</w:t>
      </w:r>
      <w:r>
        <w:t>.</w:t>
      </w:r>
    </w:p>
  </w:footnote>
  <w:footnote w:id="8">
    <w:p w:rsidR="00E06104" w:rsidRDefault="00E06104" w:rsidP="00137FDF">
      <w:pPr>
        <w:pStyle w:val="FootnoteText"/>
        <w:jc w:val="both"/>
      </w:pPr>
      <w:r>
        <w:rPr>
          <w:rStyle w:val="FootnoteReference"/>
        </w:rPr>
        <w:footnoteRef/>
      </w:r>
      <w:r>
        <w:t xml:space="preserve"> </w:t>
      </w:r>
      <w:r w:rsidRPr="00FC1A51">
        <w:rPr>
          <w:lang w:eastAsia="lt-LT"/>
        </w:rPr>
        <w:t>Valstybės ar savivaldybės įstaigų veiklos sričių, kuriose egzistuoja didelė korupcijos pasireiškimo tiki</w:t>
      </w:r>
      <w:r>
        <w:rPr>
          <w:lang w:eastAsia="lt-LT"/>
        </w:rPr>
        <w:t xml:space="preserve">mybė, nustatymo rekomendacijų, patvirtintų </w:t>
      </w:r>
      <w:r w:rsidRPr="00FC1A51">
        <w:rPr>
          <w:lang w:eastAsia="lt-LT"/>
        </w:rPr>
        <w:t>Lietuvos Respublikos specialiųjų tyrimų tarnybos direktoriaus 2011 m. gegužės 13 d. įsakymu Nr. 2-170</w:t>
      </w:r>
      <w:r>
        <w:rPr>
          <w:lang w:eastAsia="lt-LT"/>
        </w:rPr>
        <w:t xml:space="preserve"> „Dėl </w:t>
      </w:r>
      <w:r w:rsidRPr="00FC1A51">
        <w:rPr>
          <w:lang w:eastAsia="lt-LT"/>
        </w:rPr>
        <w:t>Valstybės ar savivaldybės įstaigų veiklos sričių, kuriose egzistuoja didelė korupcijos pasireiškimo tiki</w:t>
      </w:r>
      <w:r>
        <w:rPr>
          <w:lang w:eastAsia="lt-LT"/>
        </w:rPr>
        <w:t xml:space="preserve">mybė, nustatymo rekomendacijų patvirtinimo“ </w:t>
      </w:r>
      <w:r w:rsidR="0057275A">
        <w:rPr>
          <w:lang w:eastAsia="lt-LT"/>
        </w:rPr>
        <w:t>priedo IV skyrius;</w:t>
      </w:r>
    </w:p>
  </w:footnote>
  <w:footnote w:id="9">
    <w:p w:rsidR="00F37D4A" w:rsidRDefault="00F37D4A">
      <w:pPr>
        <w:pStyle w:val="FootnoteText"/>
      </w:pPr>
      <w:r>
        <w:rPr>
          <w:rStyle w:val="FootnoteReference"/>
        </w:rPr>
        <w:footnoteRef/>
      </w:r>
      <w:r>
        <w:t xml:space="preserve"> Taisyklių 32 – 35 punktai, 2 – 5 priedai;</w:t>
      </w:r>
    </w:p>
  </w:footnote>
  <w:footnote w:id="10">
    <w:p w:rsidR="0057275A" w:rsidRDefault="0057275A" w:rsidP="0057275A">
      <w:pPr>
        <w:pStyle w:val="FootnoteText"/>
        <w:jc w:val="both"/>
      </w:pPr>
      <w:r>
        <w:rPr>
          <w:rStyle w:val="FootnoteReference"/>
        </w:rPr>
        <w:footnoteRef/>
      </w:r>
      <w:r>
        <w:t xml:space="preserve"> Nešališkumo deklaracijų ir konfidencialumo pasižadėjimų</w:t>
      </w:r>
      <w:r w:rsidRPr="0057275A">
        <w:t xml:space="preserve"> formos patvirtintos Valstybinės geležinkelio inspekcijos prie Susisiekimo ministerijos viršininko 2013 m. gruodžio 3 d. įsakymu Nr. V-702 „Dėl planinius ir (ar) neplaninius patikrinimus atliekančių asmenų konfidencialumo pasižadėjimus ir nešališkumo deklaracijos formų patvirtinimo“</w:t>
      </w:r>
      <w:r>
        <w:t>;</w:t>
      </w:r>
    </w:p>
  </w:footnote>
  <w:footnote w:id="11">
    <w:p w:rsidR="006478D5" w:rsidRDefault="006478D5" w:rsidP="006478D5">
      <w:pPr>
        <w:pStyle w:val="FootnoteText"/>
      </w:pPr>
      <w:r>
        <w:rPr>
          <w:rStyle w:val="FootnoteReference"/>
        </w:rPr>
        <w:footnoteRef/>
      </w:r>
      <w:r>
        <w:t xml:space="preserve"> Valstybinės geležinkelio inspekcijos prie Susisiekimo ministerijos viršininko 2017 m. sausio 19 d. įsakymas Nr. VE-12 „Dėl Valstybinės geležinkelio inspekcijos prie Susisiekimo ministerijos teikiamų administracinių paslaugų ir kitų procesų peržiūros tvarkos aprašo patvirtinimo“;</w:t>
      </w:r>
    </w:p>
  </w:footnote>
  <w:footnote w:id="12">
    <w:p w:rsidR="006478D5" w:rsidRDefault="006478D5" w:rsidP="006478D5">
      <w:pPr>
        <w:pStyle w:val="FootnoteText"/>
      </w:pPr>
      <w:r>
        <w:rPr>
          <w:rStyle w:val="FootnoteReference"/>
        </w:rPr>
        <w:footnoteRef/>
      </w:r>
      <w:r>
        <w:t xml:space="preserve"> Valstybinės </w:t>
      </w:r>
      <w:r w:rsidRPr="006478D5">
        <w:t>geležinkelio inspekcijos prie Susisiekimo ministerijos viršininko 2014 m. gruodžio 14 d. įsakymas Nr. V-195 „Dėl Valstybinės geležinkelio inspekcijos prie Susisiekimo ministerijos teikiamų administracinių paslaugų ir kitų procesų audito plano patvirtinimo“</w:t>
      </w:r>
      <w:r>
        <w:t>;</w:t>
      </w:r>
    </w:p>
  </w:footnote>
  <w:footnote w:id="13">
    <w:p w:rsidR="006478D5" w:rsidRDefault="006478D5">
      <w:pPr>
        <w:pStyle w:val="FootnoteText"/>
      </w:pPr>
      <w:r>
        <w:rPr>
          <w:rStyle w:val="FootnoteReference"/>
        </w:rPr>
        <w:footnoteRef/>
      </w:r>
      <w:r>
        <w:t xml:space="preserve"> </w:t>
      </w:r>
      <w:r w:rsidR="00F37D4A">
        <w:t>2017 m. birželio 5 d. VGI teikiamų administracinių paslaugų ir kitų procesų peržiūros ataskaita Nr. PP-1;</w:t>
      </w:r>
    </w:p>
  </w:footnote>
  <w:footnote w:id="14">
    <w:p w:rsidR="003B70D6" w:rsidRDefault="006478D5" w:rsidP="00751C98">
      <w:pPr>
        <w:pStyle w:val="FootnoteText"/>
      </w:pPr>
      <w:r>
        <w:t xml:space="preserve"> </w:t>
      </w:r>
      <w:r w:rsidR="003B70D6">
        <w:rPr>
          <w:rStyle w:val="FootnoteReference"/>
        </w:rPr>
        <w:footnoteRef/>
      </w:r>
      <w:r w:rsidR="003B70D6">
        <w:t xml:space="preserve"> Lietuvos Respublikos viešojo administravim</w:t>
      </w:r>
      <w:r>
        <w:t>o įstatymo 8 straipsnio 2 dalis;</w:t>
      </w:r>
    </w:p>
  </w:footnote>
  <w:footnote w:id="15">
    <w:p w:rsidR="00A23CB6" w:rsidRDefault="00A23CB6" w:rsidP="00A23CB6">
      <w:pPr>
        <w:pStyle w:val="FootnoteText"/>
        <w:jc w:val="both"/>
      </w:pPr>
      <w:r>
        <w:rPr>
          <w:rStyle w:val="FootnoteReference"/>
        </w:rPr>
        <w:footnoteRef/>
      </w:r>
      <w:r>
        <w:t xml:space="preserve"> Valstybinės geležinkelio inspekcijos prie Susisiekimo ministerijos 2017 m. gegužės 31 d. įsakymas Nr. VE-65 „Dėl Valstybinės geležinkelio inspekcijos prie Susisiekimo ministerijos viršininko 2010 m. gruodžio 27 d. įsakymo Nr. V-604 „Dėl Valstybinės geležinkelio inspekcijos prie Susisiekimo ministerijos atliekamų planinių ir neplaninių patikrinimų taisyklių patvirtinimo“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F5" w:rsidRPr="00AE59A1" w:rsidRDefault="00274ACC" w:rsidP="006106D2">
    <w:pPr>
      <w:jc w:val="center"/>
      <w:rPr>
        <w:caps/>
        <w:sz w:val="20"/>
        <w:szCs w:val="20"/>
      </w:rPr>
    </w:pPr>
    <w:r>
      <w:rPr>
        <w:noProof/>
        <w:lang w:eastAsia="lt-LT"/>
      </w:rPr>
      <w:drawing>
        <wp:inline distT="0" distB="0" distL="0" distR="0" wp14:anchorId="746ECB1A" wp14:editId="59729297">
          <wp:extent cx="552450" cy="561975"/>
          <wp:effectExtent l="0" t="0" r="0" b="9525"/>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AF60F5" w:rsidRPr="00E8736C" w:rsidRDefault="00AF60F5" w:rsidP="002075B1">
    <w:pPr>
      <w:pStyle w:val="Header"/>
      <w:jc w:val="center"/>
      <w:rPr>
        <w:b/>
        <w:bCs/>
        <w:caps/>
        <w:lang w:val="da-DK"/>
      </w:rPr>
    </w:pPr>
    <w:r w:rsidRPr="00E8736C">
      <w:rPr>
        <w:b/>
        <w:bCs/>
        <w:caps/>
        <w:lang w:val="da-DK"/>
      </w:rPr>
      <w:t>Valstybinė geležinkelio inspekcija</w:t>
    </w:r>
  </w:p>
  <w:p w:rsidR="00AF60F5" w:rsidRDefault="00AF60F5" w:rsidP="002075B1">
    <w:pPr>
      <w:pStyle w:val="Header"/>
      <w:jc w:val="center"/>
      <w:rPr>
        <w:b/>
        <w:bCs/>
        <w:caps/>
        <w:lang w:val="da-DK"/>
      </w:rPr>
    </w:pPr>
    <w:r w:rsidRPr="00E8736C">
      <w:rPr>
        <w:b/>
        <w:bCs/>
        <w:caps/>
        <w:lang w:val="da-DK"/>
      </w:rPr>
      <w:t>Prie Susisiekimo ministerijos</w:t>
    </w:r>
  </w:p>
  <w:p w:rsidR="00AF60F5" w:rsidRPr="00E8736C" w:rsidRDefault="00AF60F5" w:rsidP="002075B1">
    <w:pPr>
      <w:pStyle w:val="Header"/>
      <w:jc w:val="center"/>
      <w:rPr>
        <w:b/>
        <w:bCs/>
        <w:caps/>
        <w:lang w:val="da-DK"/>
      </w:rPr>
    </w:pPr>
  </w:p>
  <w:p w:rsidR="00AF60F5" w:rsidRDefault="00E63E5B" w:rsidP="002075B1">
    <w:pPr>
      <w:pStyle w:val="Header"/>
      <w:jc w:val="center"/>
      <w:rPr>
        <w:sz w:val="20"/>
        <w:szCs w:val="20"/>
        <w:lang w:val="da-DK"/>
      </w:rPr>
    </w:pPr>
    <w:r>
      <w:rPr>
        <w:sz w:val="20"/>
        <w:szCs w:val="20"/>
        <w:lang w:val="da-DK"/>
      </w:rPr>
      <w:t>B</w:t>
    </w:r>
    <w:r w:rsidR="00AF60F5">
      <w:rPr>
        <w:sz w:val="20"/>
        <w:szCs w:val="20"/>
        <w:lang w:val="da-DK"/>
      </w:rPr>
      <w:t xml:space="preserve">iudžetinė įstaiga, </w:t>
    </w:r>
    <w:r w:rsidR="004F4E6A">
      <w:rPr>
        <w:sz w:val="20"/>
        <w:szCs w:val="20"/>
        <w:lang w:val="da-DK"/>
      </w:rPr>
      <w:t>Švitrigailos g. 42</w:t>
    </w:r>
    <w:r w:rsidR="00AF60F5" w:rsidRPr="00AE59A1">
      <w:rPr>
        <w:sz w:val="20"/>
        <w:szCs w:val="20"/>
        <w:lang w:val="da-DK"/>
      </w:rPr>
      <w:t>, LT-0</w:t>
    </w:r>
    <w:r w:rsidR="00AF60F5">
      <w:rPr>
        <w:sz w:val="20"/>
        <w:szCs w:val="20"/>
        <w:lang w:val="da-DK"/>
      </w:rPr>
      <w:t>1114 Vilnius, tel. (8 5)</w:t>
    </w:r>
    <w:r>
      <w:rPr>
        <w:sz w:val="20"/>
        <w:szCs w:val="20"/>
        <w:lang w:val="da-DK"/>
      </w:rPr>
      <w:t xml:space="preserve"> </w:t>
    </w:r>
    <w:r w:rsidR="00AF60F5">
      <w:rPr>
        <w:sz w:val="20"/>
        <w:szCs w:val="20"/>
        <w:lang w:val="da-DK"/>
      </w:rPr>
      <w:t xml:space="preserve"> 243 0362,</w:t>
    </w:r>
    <w:r w:rsidR="00AF60F5" w:rsidRPr="00AE59A1">
      <w:rPr>
        <w:sz w:val="20"/>
        <w:szCs w:val="20"/>
        <w:lang w:val="da-DK"/>
      </w:rPr>
      <w:t xml:space="preserve"> </w:t>
    </w:r>
  </w:p>
  <w:p w:rsidR="00AF60F5" w:rsidRDefault="00AF60F5" w:rsidP="002075B1">
    <w:pPr>
      <w:pStyle w:val="Header"/>
      <w:jc w:val="center"/>
      <w:rPr>
        <w:sz w:val="20"/>
        <w:szCs w:val="20"/>
        <w:lang w:val="da-DK"/>
      </w:rPr>
    </w:pPr>
    <w:r>
      <w:rPr>
        <w:sz w:val="20"/>
        <w:szCs w:val="20"/>
        <w:lang w:val="da-DK"/>
      </w:rPr>
      <w:t>f</w:t>
    </w:r>
    <w:r w:rsidRPr="00AE59A1">
      <w:rPr>
        <w:sz w:val="20"/>
        <w:szCs w:val="20"/>
        <w:lang w:val="da-DK"/>
      </w:rPr>
      <w:t>a</w:t>
    </w:r>
    <w:r>
      <w:rPr>
        <w:sz w:val="20"/>
        <w:szCs w:val="20"/>
        <w:lang w:val="da-DK"/>
      </w:rPr>
      <w:t xml:space="preserve">ks. (8 5) </w:t>
    </w:r>
    <w:r w:rsidR="00E63E5B">
      <w:rPr>
        <w:sz w:val="20"/>
        <w:szCs w:val="20"/>
        <w:lang w:val="da-DK"/>
      </w:rPr>
      <w:t xml:space="preserve"> </w:t>
    </w:r>
    <w:r>
      <w:rPr>
        <w:sz w:val="20"/>
        <w:szCs w:val="20"/>
        <w:lang w:val="da-DK"/>
      </w:rPr>
      <w:t>243 0361, e</w:t>
    </w:r>
    <w:r w:rsidRPr="00AE59A1">
      <w:rPr>
        <w:sz w:val="20"/>
        <w:szCs w:val="20"/>
        <w:lang w:val="da-DK"/>
      </w:rPr>
      <w:t>l.</w:t>
    </w:r>
    <w:r>
      <w:rPr>
        <w:sz w:val="20"/>
        <w:szCs w:val="20"/>
        <w:lang w:val="da-DK"/>
      </w:rPr>
      <w:t xml:space="preserve"> </w:t>
    </w:r>
    <w:r w:rsidRPr="00AE59A1">
      <w:rPr>
        <w:sz w:val="20"/>
        <w:szCs w:val="20"/>
        <w:lang w:val="da-DK"/>
      </w:rPr>
      <w:t xml:space="preserve">p. </w:t>
    </w:r>
    <w:hyperlink r:id="rId2" w:history="1">
      <w:r w:rsidRPr="00F62DEA">
        <w:rPr>
          <w:rStyle w:val="Hyperlink"/>
          <w:color w:val="auto"/>
          <w:sz w:val="20"/>
          <w:szCs w:val="20"/>
          <w:u w:val="none"/>
          <w:lang w:val="da-DK"/>
        </w:rPr>
        <w:t>vgi@vgi.lt</w:t>
      </w:r>
    </w:hyperlink>
    <w:r w:rsidRPr="00AE59A1">
      <w:rPr>
        <w:sz w:val="20"/>
        <w:szCs w:val="20"/>
        <w:lang w:val="da-DK"/>
      </w:rPr>
      <w:t>.</w:t>
    </w:r>
  </w:p>
  <w:p w:rsidR="00AF60F5" w:rsidRPr="002075B1" w:rsidRDefault="00AF60F5" w:rsidP="002075B1">
    <w:pPr>
      <w:pStyle w:val="Header"/>
      <w:tabs>
        <w:tab w:val="clear" w:pos="9972"/>
        <w:tab w:val="right" w:pos="9639"/>
      </w:tabs>
      <w:jc w:val="center"/>
      <w:rPr>
        <w:sz w:val="20"/>
        <w:szCs w:val="20"/>
        <w:lang w:val="da-DK"/>
      </w:rPr>
    </w:pPr>
    <w:r>
      <w:rPr>
        <w:sz w:val="20"/>
        <w:szCs w:val="20"/>
        <w:lang w:val="da-DK"/>
      </w:rPr>
      <w:t>Duomenys kaupiami ir saugomi Juridinių asmenų registre, k</w:t>
    </w:r>
    <w:r w:rsidRPr="00AE59A1">
      <w:rPr>
        <w:sz w:val="20"/>
        <w:szCs w:val="20"/>
        <w:lang w:val="da-DK"/>
      </w:rPr>
      <w:t>od</w:t>
    </w:r>
    <w:r>
      <w:rPr>
        <w:sz w:val="20"/>
        <w:szCs w:val="20"/>
        <w:lang w:val="da-DK"/>
      </w:rPr>
      <w:t>as 188683714</w:t>
    </w:r>
  </w:p>
  <w:tbl>
    <w:tblPr>
      <w:tblW w:w="0" w:type="auto"/>
      <w:tblBorders>
        <w:top w:val="single" w:sz="4" w:space="0" w:color="auto"/>
      </w:tblBorders>
      <w:tblLook w:val="01E0" w:firstRow="1" w:lastRow="1" w:firstColumn="1" w:lastColumn="1" w:noHBand="0" w:noVBand="0"/>
    </w:tblPr>
    <w:tblGrid>
      <w:gridCol w:w="9639"/>
    </w:tblGrid>
    <w:tr w:rsidR="00AF60F5" w:rsidRPr="00E02F4B">
      <w:tc>
        <w:tcPr>
          <w:tcW w:w="9696" w:type="dxa"/>
          <w:tcBorders>
            <w:top w:val="single" w:sz="4" w:space="0" w:color="auto"/>
          </w:tcBorders>
        </w:tcPr>
        <w:p w:rsidR="00AF60F5" w:rsidRPr="006F2F28" w:rsidRDefault="00AF60F5" w:rsidP="006F2F28">
          <w:pPr>
            <w:pStyle w:val="Header"/>
            <w:jc w:val="both"/>
            <w:rPr>
              <w:sz w:val="4"/>
              <w:szCs w:val="4"/>
              <w:lang w:val="da-DK"/>
            </w:rPr>
          </w:pPr>
        </w:p>
      </w:tc>
    </w:tr>
  </w:tbl>
  <w:p w:rsidR="00AF60F5" w:rsidRPr="00546CA8" w:rsidRDefault="00AF60F5" w:rsidP="00292068">
    <w:pPr>
      <w:pStyle w:val="Header"/>
      <w:jc w:val="both"/>
      <w:rPr>
        <w:sz w:val="2"/>
        <w:szCs w:val="2"/>
        <w:lang w:val="pt-BR"/>
      </w:rPr>
    </w:pPr>
  </w:p>
  <w:p w:rsidR="00AF60F5" w:rsidRPr="00546CA8" w:rsidRDefault="00AF60F5">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CF9"/>
    <w:multiLevelType w:val="multilevel"/>
    <w:tmpl w:val="DB1EC3C0"/>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6B1683"/>
    <w:multiLevelType w:val="hybridMultilevel"/>
    <w:tmpl w:val="7F9870F6"/>
    <w:lvl w:ilvl="0" w:tplc="0427000F">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1F8152BC"/>
    <w:multiLevelType w:val="hybridMultilevel"/>
    <w:tmpl w:val="A0683E8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B627727"/>
    <w:multiLevelType w:val="hybridMultilevel"/>
    <w:tmpl w:val="CE260BC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FA30C24"/>
    <w:multiLevelType w:val="hybridMultilevel"/>
    <w:tmpl w:val="4F9A1D40"/>
    <w:lvl w:ilvl="0" w:tplc="88C21466">
      <w:start w:val="1"/>
      <w:numFmt w:val="decimal"/>
      <w:lvlText w:val="%1)"/>
      <w:lvlJc w:val="left"/>
      <w:pPr>
        <w:ind w:left="1146" w:hanging="360"/>
      </w:pPr>
      <w:rPr>
        <w:rFonts w:ascii="Times New Roman" w:eastAsia="Times New Roman" w:hAnsi="Times New Roman" w:cs="Times New Roman"/>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5" w15:restartNumberingAfterBreak="0">
    <w:nsid w:val="48BE578A"/>
    <w:multiLevelType w:val="hybridMultilevel"/>
    <w:tmpl w:val="893C6A0A"/>
    <w:lvl w:ilvl="0" w:tplc="919C8EB6">
      <w:start w:val="1"/>
      <w:numFmt w:val="decimal"/>
      <w:lvlText w:val="%1."/>
      <w:lvlJc w:val="left"/>
      <w:pPr>
        <w:ind w:left="162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17743C"/>
    <w:multiLevelType w:val="hybridMultilevel"/>
    <w:tmpl w:val="472A9514"/>
    <w:lvl w:ilvl="0" w:tplc="AD7017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82FB7"/>
    <w:multiLevelType w:val="hybridMultilevel"/>
    <w:tmpl w:val="6F00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30EA3"/>
    <w:multiLevelType w:val="hybridMultilevel"/>
    <w:tmpl w:val="7BA0319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07A04D6"/>
    <w:multiLevelType w:val="hybridMultilevel"/>
    <w:tmpl w:val="CC02E26E"/>
    <w:lvl w:ilvl="0" w:tplc="F8906B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976A9E"/>
    <w:multiLevelType w:val="hybridMultilevel"/>
    <w:tmpl w:val="F2B6B77C"/>
    <w:lvl w:ilvl="0" w:tplc="1E341FD8">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6B783630"/>
    <w:multiLevelType w:val="hybridMultilevel"/>
    <w:tmpl w:val="467C8380"/>
    <w:lvl w:ilvl="0" w:tplc="C6041D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45D683B"/>
    <w:multiLevelType w:val="hybridMultilevel"/>
    <w:tmpl w:val="4BDA6822"/>
    <w:lvl w:ilvl="0" w:tplc="6A1C2B08">
      <w:start w:val="1"/>
      <w:numFmt w:val="decimal"/>
      <w:lvlText w:val="%1."/>
      <w:lvlJc w:val="left"/>
      <w:pPr>
        <w:ind w:left="340" w:firstLine="397"/>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603166B"/>
    <w:multiLevelType w:val="hybridMultilevel"/>
    <w:tmpl w:val="43C672DA"/>
    <w:lvl w:ilvl="0" w:tplc="3DC29A2E">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788A0920"/>
    <w:multiLevelType w:val="hybridMultilevel"/>
    <w:tmpl w:val="CB3E83CC"/>
    <w:lvl w:ilvl="0" w:tplc="A5BEE28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9754755"/>
    <w:multiLevelType w:val="multilevel"/>
    <w:tmpl w:val="1780008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7D4451"/>
    <w:multiLevelType w:val="hybridMultilevel"/>
    <w:tmpl w:val="880A7216"/>
    <w:lvl w:ilvl="0" w:tplc="D60C2F5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F2327BF"/>
    <w:multiLevelType w:val="hybridMultilevel"/>
    <w:tmpl w:val="EB8AB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3B469C"/>
    <w:multiLevelType w:val="hybridMultilevel"/>
    <w:tmpl w:val="1F22BCA2"/>
    <w:lvl w:ilvl="0" w:tplc="10D2C4F6">
      <w:start w:val="1"/>
      <w:numFmt w:val="decimal"/>
      <w:lvlText w:val="%1."/>
      <w:lvlJc w:val="left"/>
      <w:pPr>
        <w:ind w:left="162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9"/>
  </w:num>
  <w:num w:numId="4">
    <w:abstractNumId w:val="3"/>
  </w:num>
  <w:num w:numId="5">
    <w:abstractNumId w:val="8"/>
  </w:num>
  <w:num w:numId="6">
    <w:abstractNumId w:val="1"/>
  </w:num>
  <w:num w:numId="7">
    <w:abstractNumId w:val="11"/>
  </w:num>
  <w:num w:numId="8">
    <w:abstractNumId w:val="14"/>
  </w:num>
  <w:num w:numId="9">
    <w:abstractNumId w:val="6"/>
  </w:num>
  <w:num w:numId="10">
    <w:abstractNumId w:val="18"/>
  </w:num>
  <w:num w:numId="11">
    <w:abstractNumId w:val="7"/>
  </w:num>
  <w:num w:numId="12">
    <w:abstractNumId w:val="17"/>
  </w:num>
  <w:num w:numId="13">
    <w:abstractNumId w:val="2"/>
  </w:num>
  <w:num w:numId="14">
    <w:abstractNumId w:val="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8E"/>
    <w:rsid w:val="00000BB2"/>
    <w:rsid w:val="0001117E"/>
    <w:rsid w:val="00011D1D"/>
    <w:rsid w:val="00017E33"/>
    <w:rsid w:val="0002188E"/>
    <w:rsid w:val="00021A1A"/>
    <w:rsid w:val="0002552C"/>
    <w:rsid w:val="0003529F"/>
    <w:rsid w:val="00042EDD"/>
    <w:rsid w:val="0004467A"/>
    <w:rsid w:val="00044DD2"/>
    <w:rsid w:val="000461C3"/>
    <w:rsid w:val="000472A0"/>
    <w:rsid w:val="00051416"/>
    <w:rsid w:val="00053E3C"/>
    <w:rsid w:val="00057276"/>
    <w:rsid w:val="000660E6"/>
    <w:rsid w:val="000666E7"/>
    <w:rsid w:val="00076026"/>
    <w:rsid w:val="00077C67"/>
    <w:rsid w:val="000856AE"/>
    <w:rsid w:val="00086332"/>
    <w:rsid w:val="000863B7"/>
    <w:rsid w:val="00086C2A"/>
    <w:rsid w:val="0009027B"/>
    <w:rsid w:val="00093D85"/>
    <w:rsid w:val="000A0082"/>
    <w:rsid w:val="000A6CB1"/>
    <w:rsid w:val="000B28B3"/>
    <w:rsid w:val="000B37A2"/>
    <w:rsid w:val="000B65A0"/>
    <w:rsid w:val="000B7A4F"/>
    <w:rsid w:val="000C0646"/>
    <w:rsid w:val="000C15BF"/>
    <w:rsid w:val="000C1C25"/>
    <w:rsid w:val="000C7215"/>
    <w:rsid w:val="000C7AFB"/>
    <w:rsid w:val="000D032A"/>
    <w:rsid w:val="000D1B7A"/>
    <w:rsid w:val="000D1BFE"/>
    <w:rsid w:val="000D62E7"/>
    <w:rsid w:val="000D7317"/>
    <w:rsid w:val="000D75C9"/>
    <w:rsid w:val="000E1FBF"/>
    <w:rsid w:val="000E297F"/>
    <w:rsid w:val="000F1A49"/>
    <w:rsid w:val="000F1F00"/>
    <w:rsid w:val="000F4622"/>
    <w:rsid w:val="000F6ED1"/>
    <w:rsid w:val="00101F99"/>
    <w:rsid w:val="001022AC"/>
    <w:rsid w:val="001033BD"/>
    <w:rsid w:val="00107000"/>
    <w:rsid w:val="00111E96"/>
    <w:rsid w:val="001157EC"/>
    <w:rsid w:val="001179AA"/>
    <w:rsid w:val="00120751"/>
    <w:rsid w:val="00120F2E"/>
    <w:rsid w:val="001275C9"/>
    <w:rsid w:val="00127E58"/>
    <w:rsid w:val="00134FDB"/>
    <w:rsid w:val="001355CA"/>
    <w:rsid w:val="00137FDF"/>
    <w:rsid w:val="00143493"/>
    <w:rsid w:val="00144BC4"/>
    <w:rsid w:val="00146002"/>
    <w:rsid w:val="00147AB5"/>
    <w:rsid w:val="0015285C"/>
    <w:rsid w:val="00156CE2"/>
    <w:rsid w:val="00161440"/>
    <w:rsid w:val="00164431"/>
    <w:rsid w:val="00164542"/>
    <w:rsid w:val="00167D6E"/>
    <w:rsid w:val="001730E0"/>
    <w:rsid w:val="00175AF9"/>
    <w:rsid w:val="001770F4"/>
    <w:rsid w:val="00177E89"/>
    <w:rsid w:val="00180F42"/>
    <w:rsid w:val="0018670B"/>
    <w:rsid w:val="001A0EBA"/>
    <w:rsid w:val="001A2EE7"/>
    <w:rsid w:val="001A585A"/>
    <w:rsid w:val="001B403D"/>
    <w:rsid w:val="001C0634"/>
    <w:rsid w:val="001C25B4"/>
    <w:rsid w:val="001D1919"/>
    <w:rsid w:val="001E5B9C"/>
    <w:rsid w:val="001E6F9D"/>
    <w:rsid w:val="001F1040"/>
    <w:rsid w:val="001F27A7"/>
    <w:rsid w:val="001F34A6"/>
    <w:rsid w:val="001F3E9F"/>
    <w:rsid w:val="001F4222"/>
    <w:rsid w:val="001F4DBD"/>
    <w:rsid w:val="001F696A"/>
    <w:rsid w:val="0020347F"/>
    <w:rsid w:val="0020387A"/>
    <w:rsid w:val="00206FB5"/>
    <w:rsid w:val="002075B1"/>
    <w:rsid w:val="0021030A"/>
    <w:rsid w:val="002109E4"/>
    <w:rsid w:val="00212D85"/>
    <w:rsid w:val="00214851"/>
    <w:rsid w:val="00215953"/>
    <w:rsid w:val="00216776"/>
    <w:rsid w:val="00220B84"/>
    <w:rsid w:val="002263A2"/>
    <w:rsid w:val="00231A43"/>
    <w:rsid w:val="002357BA"/>
    <w:rsid w:val="002375D6"/>
    <w:rsid w:val="00237F82"/>
    <w:rsid w:val="00241A81"/>
    <w:rsid w:val="0024424B"/>
    <w:rsid w:val="00245BD0"/>
    <w:rsid w:val="00250779"/>
    <w:rsid w:val="00264E9B"/>
    <w:rsid w:val="00274159"/>
    <w:rsid w:val="00274ACC"/>
    <w:rsid w:val="00274C6D"/>
    <w:rsid w:val="00275AFD"/>
    <w:rsid w:val="002762D3"/>
    <w:rsid w:val="00284A03"/>
    <w:rsid w:val="00285306"/>
    <w:rsid w:val="0028621F"/>
    <w:rsid w:val="00292068"/>
    <w:rsid w:val="00292E31"/>
    <w:rsid w:val="00293B44"/>
    <w:rsid w:val="002A1B26"/>
    <w:rsid w:val="002A2867"/>
    <w:rsid w:val="002A5B18"/>
    <w:rsid w:val="002A5BE1"/>
    <w:rsid w:val="002A5E52"/>
    <w:rsid w:val="002B0A66"/>
    <w:rsid w:val="002B297E"/>
    <w:rsid w:val="002B6824"/>
    <w:rsid w:val="002B6B29"/>
    <w:rsid w:val="002C1278"/>
    <w:rsid w:val="002C39D9"/>
    <w:rsid w:val="002C5962"/>
    <w:rsid w:val="002C68F5"/>
    <w:rsid w:val="002C7D15"/>
    <w:rsid w:val="002D0184"/>
    <w:rsid w:val="002D4B82"/>
    <w:rsid w:val="002D7686"/>
    <w:rsid w:val="002E55C7"/>
    <w:rsid w:val="002E611A"/>
    <w:rsid w:val="002F0867"/>
    <w:rsid w:val="002F215A"/>
    <w:rsid w:val="002F2906"/>
    <w:rsid w:val="002F50CB"/>
    <w:rsid w:val="002F5F3C"/>
    <w:rsid w:val="00300394"/>
    <w:rsid w:val="003007B9"/>
    <w:rsid w:val="00301A3F"/>
    <w:rsid w:val="0030357D"/>
    <w:rsid w:val="00307860"/>
    <w:rsid w:val="003119A3"/>
    <w:rsid w:val="00312016"/>
    <w:rsid w:val="003163A5"/>
    <w:rsid w:val="00316535"/>
    <w:rsid w:val="00325CA4"/>
    <w:rsid w:val="0032638E"/>
    <w:rsid w:val="00331D95"/>
    <w:rsid w:val="00332D81"/>
    <w:rsid w:val="00340A45"/>
    <w:rsid w:val="00345BE1"/>
    <w:rsid w:val="0035485F"/>
    <w:rsid w:val="003574B6"/>
    <w:rsid w:val="003678AB"/>
    <w:rsid w:val="00371A32"/>
    <w:rsid w:val="00374892"/>
    <w:rsid w:val="0037493D"/>
    <w:rsid w:val="00374968"/>
    <w:rsid w:val="0037507E"/>
    <w:rsid w:val="003779BD"/>
    <w:rsid w:val="003807AB"/>
    <w:rsid w:val="003810FF"/>
    <w:rsid w:val="00381360"/>
    <w:rsid w:val="00381615"/>
    <w:rsid w:val="00385D3B"/>
    <w:rsid w:val="0038793F"/>
    <w:rsid w:val="00394173"/>
    <w:rsid w:val="00395766"/>
    <w:rsid w:val="003974D0"/>
    <w:rsid w:val="003A0D01"/>
    <w:rsid w:val="003A1293"/>
    <w:rsid w:val="003A44F4"/>
    <w:rsid w:val="003A5C12"/>
    <w:rsid w:val="003A6FD5"/>
    <w:rsid w:val="003A7257"/>
    <w:rsid w:val="003B1E28"/>
    <w:rsid w:val="003B70D6"/>
    <w:rsid w:val="003C3FB4"/>
    <w:rsid w:val="003D2741"/>
    <w:rsid w:val="003D3749"/>
    <w:rsid w:val="003D521B"/>
    <w:rsid w:val="003D6DBA"/>
    <w:rsid w:val="003D7DCA"/>
    <w:rsid w:val="003E0ABB"/>
    <w:rsid w:val="003E23B5"/>
    <w:rsid w:val="003E2AE3"/>
    <w:rsid w:val="003E3F15"/>
    <w:rsid w:val="003F2367"/>
    <w:rsid w:val="003F48B1"/>
    <w:rsid w:val="003F5A05"/>
    <w:rsid w:val="003F64D2"/>
    <w:rsid w:val="004008D1"/>
    <w:rsid w:val="00407B1E"/>
    <w:rsid w:val="004108B8"/>
    <w:rsid w:val="004109E4"/>
    <w:rsid w:val="00420704"/>
    <w:rsid w:val="00422738"/>
    <w:rsid w:val="004230C2"/>
    <w:rsid w:val="00423413"/>
    <w:rsid w:val="0042371A"/>
    <w:rsid w:val="004306A0"/>
    <w:rsid w:val="0043299D"/>
    <w:rsid w:val="00435CA3"/>
    <w:rsid w:val="00445258"/>
    <w:rsid w:val="00445501"/>
    <w:rsid w:val="004508C6"/>
    <w:rsid w:val="004516CB"/>
    <w:rsid w:val="00451CD8"/>
    <w:rsid w:val="004565B5"/>
    <w:rsid w:val="0045749B"/>
    <w:rsid w:val="00461D8C"/>
    <w:rsid w:val="00462945"/>
    <w:rsid w:val="00464597"/>
    <w:rsid w:val="004664FF"/>
    <w:rsid w:val="004668D2"/>
    <w:rsid w:val="004762B7"/>
    <w:rsid w:val="00476CC3"/>
    <w:rsid w:val="00476F7B"/>
    <w:rsid w:val="004811CC"/>
    <w:rsid w:val="00484F69"/>
    <w:rsid w:val="00485DA9"/>
    <w:rsid w:val="00490654"/>
    <w:rsid w:val="004906DA"/>
    <w:rsid w:val="004920E9"/>
    <w:rsid w:val="00492E34"/>
    <w:rsid w:val="004970F9"/>
    <w:rsid w:val="004A4F0B"/>
    <w:rsid w:val="004A6354"/>
    <w:rsid w:val="004A6E61"/>
    <w:rsid w:val="004B1AB2"/>
    <w:rsid w:val="004B1D36"/>
    <w:rsid w:val="004B1D7B"/>
    <w:rsid w:val="004B3820"/>
    <w:rsid w:val="004B4CEA"/>
    <w:rsid w:val="004C27E5"/>
    <w:rsid w:val="004C5CFC"/>
    <w:rsid w:val="004C7DCD"/>
    <w:rsid w:val="004D158C"/>
    <w:rsid w:val="004D1737"/>
    <w:rsid w:val="004D1DEE"/>
    <w:rsid w:val="004D67E0"/>
    <w:rsid w:val="004E3F59"/>
    <w:rsid w:val="004E7A7B"/>
    <w:rsid w:val="004F05E8"/>
    <w:rsid w:val="004F4E6A"/>
    <w:rsid w:val="004F67FF"/>
    <w:rsid w:val="004F7E96"/>
    <w:rsid w:val="0050139C"/>
    <w:rsid w:val="00503573"/>
    <w:rsid w:val="00504C85"/>
    <w:rsid w:val="0050682D"/>
    <w:rsid w:val="00507182"/>
    <w:rsid w:val="0051262C"/>
    <w:rsid w:val="005140A7"/>
    <w:rsid w:val="0051531A"/>
    <w:rsid w:val="0051556E"/>
    <w:rsid w:val="00517246"/>
    <w:rsid w:val="00536D02"/>
    <w:rsid w:val="005372E2"/>
    <w:rsid w:val="005448F2"/>
    <w:rsid w:val="00546CA8"/>
    <w:rsid w:val="00556837"/>
    <w:rsid w:val="00564BC0"/>
    <w:rsid w:val="0056526F"/>
    <w:rsid w:val="0057074B"/>
    <w:rsid w:val="0057275A"/>
    <w:rsid w:val="0057346E"/>
    <w:rsid w:val="00594154"/>
    <w:rsid w:val="0059454C"/>
    <w:rsid w:val="0059490F"/>
    <w:rsid w:val="005949C2"/>
    <w:rsid w:val="005A2C53"/>
    <w:rsid w:val="005A5513"/>
    <w:rsid w:val="005A659D"/>
    <w:rsid w:val="005A727F"/>
    <w:rsid w:val="005A7C0D"/>
    <w:rsid w:val="005B5D0B"/>
    <w:rsid w:val="005B694E"/>
    <w:rsid w:val="005C11C5"/>
    <w:rsid w:val="005C663F"/>
    <w:rsid w:val="005C6D4A"/>
    <w:rsid w:val="005C7AAA"/>
    <w:rsid w:val="005D1813"/>
    <w:rsid w:val="005D64CF"/>
    <w:rsid w:val="005E269A"/>
    <w:rsid w:val="005E2E54"/>
    <w:rsid w:val="005E42B7"/>
    <w:rsid w:val="005F19D4"/>
    <w:rsid w:val="00600111"/>
    <w:rsid w:val="006006D6"/>
    <w:rsid w:val="0060304C"/>
    <w:rsid w:val="006047FC"/>
    <w:rsid w:val="00607C4C"/>
    <w:rsid w:val="006106D2"/>
    <w:rsid w:val="00612F49"/>
    <w:rsid w:val="00613E92"/>
    <w:rsid w:val="00614C8A"/>
    <w:rsid w:val="006262E9"/>
    <w:rsid w:val="00632651"/>
    <w:rsid w:val="006332B2"/>
    <w:rsid w:val="00636075"/>
    <w:rsid w:val="006478D5"/>
    <w:rsid w:val="00651976"/>
    <w:rsid w:val="00654505"/>
    <w:rsid w:val="0065687A"/>
    <w:rsid w:val="00670B75"/>
    <w:rsid w:val="006720BF"/>
    <w:rsid w:val="00680498"/>
    <w:rsid w:val="006804FE"/>
    <w:rsid w:val="00681423"/>
    <w:rsid w:val="0068205C"/>
    <w:rsid w:val="00686E2A"/>
    <w:rsid w:val="00691A0C"/>
    <w:rsid w:val="00695160"/>
    <w:rsid w:val="00695755"/>
    <w:rsid w:val="00697CE7"/>
    <w:rsid w:val="006A1984"/>
    <w:rsid w:val="006A2AFB"/>
    <w:rsid w:val="006A4FAF"/>
    <w:rsid w:val="006B2532"/>
    <w:rsid w:val="006B41B3"/>
    <w:rsid w:val="006C0A75"/>
    <w:rsid w:val="006C78A2"/>
    <w:rsid w:val="006C7FE1"/>
    <w:rsid w:val="006D023E"/>
    <w:rsid w:val="006D0A3E"/>
    <w:rsid w:val="006D2579"/>
    <w:rsid w:val="006D2C3B"/>
    <w:rsid w:val="006D63FA"/>
    <w:rsid w:val="006D6A0F"/>
    <w:rsid w:val="006D6B42"/>
    <w:rsid w:val="006E4DC3"/>
    <w:rsid w:val="006E5D3C"/>
    <w:rsid w:val="006F2E1D"/>
    <w:rsid w:val="006F2F28"/>
    <w:rsid w:val="006F438C"/>
    <w:rsid w:val="006F72D7"/>
    <w:rsid w:val="007010EE"/>
    <w:rsid w:val="0070128B"/>
    <w:rsid w:val="0070591A"/>
    <w:rsid w:val="0071173B"/>
    <w:rsid w:val="00711EAF"/>
    <w:rsid w:val="00717CF5"/>
    <w:rsid w:val="0072000D"/>
    <w:rsid w:val="007208CF"/>
    <w:rsid w:val="00726EAF"/>
    <w:rsid w:val="007328C8"/>
    <w:rsid w:val="00733F44"/>
    <w:rsid w:val="0073511C"/>
    <w:rsid w:val="00736B91"/>
    <w:rsid w:val="00741737"/>
    <w:rsid w:val="0074280E"/>
    <w:rsid w:val="00751C98"/>
    <w:rsid w:val="00757047"/>
    <w:rsid w:val="00764D0E"/>
    <w:rsid w:val="00773604"/>
    <w:rsid w:val="007746E0"/>
    <w:rsid w:val="00774D22"/>
    <w:rsid w:val="00775856"/>
    <w:rsid w:val="00782481"/>
    <w:rsid w:val="00785581"/>
    <w:rsid w:val="007878E5"/>
    <w:rsid w:val="0079229E"/>
    <w:rsid w:val="007A239A"/>
    <w:rsid w:val="007A3041"/>
    <w:rsid w:val="007A30B1"/>
    <w:rsid w:val="007A312C"/>
    <w:rsid w:val="007A6FB5"/>
    <w:rsid w:val="007B354F"/>
    <w:rsid w:val="007B6C65"/>
    <w:rsid w:val="007C13AD"/>
    <w:rsid w:val="007C62A1"/>
    <w:rsid w:val="007D5EE0"/>
    <w:rsid w:val="007E033D"/>
    <w:rsid w:val="007E1345"/>
    <w:rsid w:val="007E60B9"/>
    <w:rsid w:val="007E79E8"/>
    <w:rsid w:val="007F6159"/>
    <w:rsid w:val="0080150E"/>
    <w:rsid w:val="00801F87"/>
    <w:rsid w:val="008044A3"/>
    <w:rsid w:val="00805CA7"/>
    <w:rsid w:val="0080671F"/>
    <w:rsid w:val="00806909"/>
    <w:rsid w:val="00807589"/>
    <w:rsid w:val="00815901"/>
    <w:rsid w:val="00815CCE"/>
    <w:rsid w:val="00817485"/>
    <w:rsid w:val="00826048"/>
    <w:rsid w:val="008371C5"/>
    <w:rsid w:val="0084219E"/>
    <w:rsid w:val="00842B4E"/>
    <w:rsid w:val="00846B45"/>
    <w:rsid w:val="00847978"/>
    <w:rsid w:val="00852CE1"/>
    <w:rsid w:val="00853A31"/>
    <w:rsid w:val="00854655"/>
    <w:rsid w:val="00855836"/>
    <w:rsid w:val="008621D5"/>
    <w:rsid w:val="00867AF0"/>
    <w:rsid w:val="00870BD0"/>
    <w:rsid w:val="0087178C"/>
    <w:rsid w:val="008720BC"/>
    <w:rsid w:val="0087421B"/>
    <w:rsid w:val="008763F9"/>
    <w:rsid w:val="008766E6"/>
    <w:rsid w:val="00877DA2"/>
    <w:rsid w:val="00885EF5"/>
    <w:rsid w:val="00890846"/>
    <w:rsid w:val="008935B7"/>
    <w:rsid w:val="00895196"/>
    <w:rsid w:val="00897C7A"/>
    <w:rsid w:val="008A5F25"/>
    <w:rsid w:val="008B0FC4"/>
    <w:rsid w:val="008C00A5"/>
    <w:rsid w:val="008C099C"/>
    <w:rsid w:val="008C1055"/>
    <w:rsid w:val="008C3739"/>
    <w:rsid w:val="008C41AC"/>
    <w:rsid w:val="008D31C4"/>
    <w:rsid w:val="008D62AE"/>
    <w:rsid w:val="008E2175"/>
    <w:rsid w:val="008E2C57"/>
    <w:rsid w:val="008E524C"/>
    <w:rsid w:val="008F00BF"/>
    <w:rsid w:val="008F3C8E"/>
    <w:rsid w:val="00902B98"/>
    <w:rsid w:val="00905CA7"/>
    <w:rsid w:val="009063DE"/>
    <w:rsid w:val="00913551"/>
    <w:rsid w:val="00913A9E"/>
    <w:rsid w:val="00914C5D"/>
    <w:rsid w:val="00924C05"/>
    <w:rsid w:val="009271BE"/>
    <w:rsid w:val="009315E6"/>
    <w:rsid w:val="009335BF"/>
    <w:rsid w:val="00934570"/>
    <w:rsid w:val="009356FC"/>
    <w:rsid w:val="009423B9"/>
    <w:rsid w:val="00942999"/>
    <w:rsid w:val="00944011"/>
    <w:rsid w:val="009501D0"/>
    <w:rsid w:val="00952FAB"/>
    <w:rsid w:val="00953ACB"/>
    <w:rsid w:val="009566B0"/>
    <w:rsid w:val="009568FA"/>
    <w:rsid w:val="00961D58"/>
    <w:rsid w:val="00975BD9"/>
    <w:rsid w:val="009824BA"/>
    <w:rsid w:val="009863E3"/>
    <w:rsid w:val="009903A0"/>
    <w:rsid w:val="00995736"/>
    <w:rsid w:val="00996A37"/>
    <w:rsid w:val="009A10B1"/>
    <w:rsid w:val="009A365A"/>
    <w:rsid w:val="009B258D"/>
    <w:rsid w:val="009B3941"/>
    <w:rsid w:val="009B754C"/>
    <w:rsid w:val="009C56A5"/>
    <w:rsid w:val="009C5A8E"/>
    <w:rsid w:val="009C6FC2"/>
    <w:rsid w:val="009C7253"/>
    <w:rsid w:val="009E4CFB"/>
    <w:rsid w:val="009E55B1"/>
    <w:rsid w:val="009E7F15"/>
    <w:rsid w:val="009F3FE2"/>
    <w:rsid w:val="009F6C08"/>
    <w:rsid w:val="009F7798"/>
    <w:rsid w:val="00A00720"/>
    <w:rsid w:val="00A07A5A"/>
    <w:rsid w:val="00A126E4"/>
    <w:rsid w:val="00A12A2E"/>
    <w:rsid w:val="00A1493E"/>
    <w:rsid w:val="00A1589D"/>
    <w:rsid w:val="00A160DD"/>
    <w:rsid w:val="00A23356"/>
    <w:rsid w:val="00A23A13"/>
    <w:rsid w:val="00A23CB6"/>
    <w:rsid w:val="00A275C0"/>
    <w:rsid w:val="00A32122"/>
    <w:rsid w:val="00A3266A"/>
    <w:rsid w:val="00A32726"/>
    <w:rsid w:val="00A3296F"/>
    <w:rsid w:val="00A34800"/>
    <w:rsid w:val="00A3749D"/>
    <w:rsid w:val="00A37520"/>
    <w:rsid w:val="00A37924"/>
    <w:rsid w:val="00A4252D"/>
    <w:rsid w:val="00A42916"/>
    <w:rsid w:val="00A44B8B"/>
    <w:rsid w:val="00A4776F"/>
    <w:rsid w:val="00A500B5"/>
    <w:rsid w:val="00A5266C"/>
    <w:rsid w:val="00A54854"/>
    <w:rsid w:val="00A54A30"/>
    <w:rsid w:val="00A55B33"/>
    <w:rsid w:val="00A64724"/>
    <w:rsid w:val="00A673D8"/>
    <w:rsid w:val="00A70477"/>
    <w:rsid w:val="00A71402"/>
    <w:rsid w:val="00A734E1"/>
    <w:rsid w:val="00A7390F"/>
    <w:rsid w:val="00A7471A"/>
    <w:rsid w:val="00A74ED3"/>
    <w:rsid w:val="00A77D7B"/>
    <w:rsid w:val="00A81484"/>
    <w:rsid w:val="00A82310"/>
    <w:rsid w:val="00A826AB"/>
    <w:rsid w:val="00A83985"/>
    <w:rsid w:val="00A83996"/>
    <w:rsid w:val="00A90294"/>
    <w:rsid w:val="00A92477"/>
    <w:rsid w:val="00A93F51"/>
    <w:rsid w:val="00A96586"/>
    <w:rsid w:val="00AA6357"/>
    <w:rsid w:val="00AA7980"/>
    <w:rsid w:val="00AB6669"/>
    <w:rsid w:val="00AB6DF1"/>
    <w:rsid w:val="00AC549E"/>
    <w:rsid w:val="00AC6291"/>
    <w:rsid w:val="00AD05A2"/>
    <w:rsid w:val="00AE027D"/>
    <w:rsid w:val="00AE05B5"/>
    <w:rsid w:val="00AE59A1"/>
    <w:rsid w:val="00AE71E0"/>
    <w:rsid w:val="00AF18FD"/>
    <w:rsid w:val="00AF60F5"/>
    <w:rsid w:val="00AF67A5"/>
    <w:rsid w:val="00AF70F8"/>
    <w:rsid w:val="00B00309"/>
    <w:rsid w:val="00B05AA9"/>
    <w:rsid w:val="00B064E7"/>
    <w:rsid w:val="00B06917"/>
    <w:rsid w:val="00B12F36"/>
    <w:rsid w:val="00B17C27"/>
    <w:rsid w:val="00B21EAA"/>
    <w:rsid w:val="00B269F6"/>
    <w:rsid w:val="00B332F7"/>
    <w:rsid w:val="00B34555"/>
    <w:rsid w:val="00B35074"/>
    <w:rsid w:val="00B366E5"/>
    <w:rsid w:val="00B36B58"/>
    <w:rsid w:val="00B40351"/>
    <w:rsid w:val="00B4459B"/>
    <w:rsid w:val="00B457A8"/>
    <w:rsid w:val="00B4790F"/>
    <w:rsid w:val="00B479DD"/>
    <w:rsid w:val="00B5305B"/>
    <w:rsid w:val="00B57159"/>
    <w:rsid w:val="00B57299"/>
    <w:rsid w:val="00B6384F"/>
    <w:rsid w:val="00B63DA4"/>
    <w:rsid w:val="00B65710"/>
    <w:rsid w:val="00B671BC"/>
    <w:rsid w:val="00B767E8"/>
    <w:rsid w:val="00B7799A"/>
    <w:rsid w:val="00B80D0B"/>
    <w:rsid w:val="00B82638"/>
    <w:rsid w:val="00B83392"/>
    <w:rsid w:val="00B85F04"/>
    <w:rsid w:val="00B90816"/>
    <w:rsid w:val="00B9331B"/>
    <w:rsid w:val="00B94144"/>
    <w:rsid w:val="00B94DD6"/>
    <w:rsid w:val="00B97A32"/>
    <w:rsid w:val="00BA2A1E"/>
    <w:rsid w:val="00BA3A8D"/>
    <w:rsid w:val="00BA6C50"/>
    <w:rsid w:val="00BA723C"/>
    <w:rsid w:val="00BB5F2F"/>
    <w:rsid w:val="00BB66F7"/>
    <w:rsid w:val="00BB7C0E"/>
    <w:rsid w:val="00BC452A"/>
    <w:rsid w:val="00BC4D5D"/>
    <w:rsid w:val="00BC6C12"/>
    <w:rsid w:val="00BD0D36"/>
    <w:rsid w:val="00BD3E5D"/>
    <w:rsid w:val="00BE0371"/>
    <w:rsid w:val="00BE1E6D"/>
    <w:rsid w:val="00C01DEA"/>
    <w:rsid w:val="00C04ADA"/>
    <w:rsid w:val="00C04B70"/>
    <w:rsid w:val="00C11842"/>
    <w:rsid w:val="00C11C5C"/>
    <w:rsid w:val="00C142DC"/>
    <w:rsid w:val="00C1609A"/>
    <w:rsid w:val="00C22BB2"/>
    <w:rsid w:val="00C24C58"/>
    <w:rsid w:val="00C27674"/>
    <w:rsid w:val="00C31111"/>
    <w:rsid w:val="00C3181C"/>
    <w:rsid w:val="00C33AB7"/>
    <w:rsid w:val="00C36E81"/>
    <w:rsid w:val="00C420EE"/>
    <w:rsid w:val="00C67600"/>
    <w:rsid w:val="00C67914"/>
    <w:rsid w:val="00C73D4A"/>
    <w:rsid w:val="00C7425F"/>
    <w:rsid w:val="00C76287"/>
    <w:rsid w:val="00C80139"/>
    <w:rsid w:val="00C807EE"/>
    <w:rsid w:val="00C813B2"/>
    <w:rsid w:val="00C814D7"/>
    <w:rsid w:val="00C83AB4"/>
    <w:rsid w:val="00C874D0"/>
    <w:rsid w:val="00C93110"/>
    <w:rsid w:val="00C9553D"/>
    <w:rsid w:val="00C972B9"/>
    <w:rsid w:val="00CA5364"/>
    <w:rsid w:val="00CA760A"/>
    <w:rsid w:val="00CB2CE9"/>
    <w:rsid w:val="00CB58DF"/>
    <w:rsid w:val="00CC1812"/>
    <w:rsid w:val="00CC4EA0"/>
    <w:rsid w:val="00CD2C0E"/>
    <w:rsid w:val="00CD4B95"/>
    <w:rsid w:val="00CE0323"/>
    <w:rsid w:val="00CE11A3"/>
    <w:rsid w:val="00CE1253"/>
    <w:rsid w:val="00CE1B99"/>
    <w:rsid w:val="00CE1E36"/>
    <w:rsid w:val="00CE40B8"/>
    <w:rsid w:val="00CE639F"/>
    <w:rsid w:val="00CE653F"/>
    <w:rsid w:val="00CF35E8"/>
    <w:rsid w:val="00CF3F9E"/>
    <w:rsid w:val="00D02BE2"/>
    <w:rsid w:val="00D02CF7"/>
    <w:rsid w:val="00D03ABD"/>
    <w:rsid w:val="00D03BD8"/>
    <w:rsid w:val="00D111CC"/>
    <w:rsid w:val="00D1408A"/>
    <w:rsid w:val="00D2248C"/>
    <w:rsid w:val="00D23910"/>
    <w:rsid w:val="00D26733"/>
    <w:rsid w:val="00D34CE2"/>
    <w:rsid w:val="00D4158E"/>
    <w:rsid w:val="00D50D76"/>
    <w:rsid w:val="00D5399F"/>
    <w:rsid w:val="00D54720"/>
    <w:rsid w:val="00D61130"/>
    <w:rsid w:val="00D64C06"/>
    <w:rsid w:val="00D8268C"/>
    <w:rsid w:val="00D840D7"/>
    <w:rsid w:val="00D917F4"/>
    <w:rsid w:val="00D9290B"/>
    <w:rsid w:val="00D97366"/>
    <w:rsid w:val="00DB1124"/>
    <w:rsid w:val="00DB1E27"/>
    <w:rsid w:val="00DB2E5E"/>
    <w:rsid w:val="00DB3AA0"/>
    <w:rsid w:val="00DB6C1D"/>
    <w:rsid w:val="00DC0CC6"/>
    <w:rsid w:val="00DC3E72"/>
    <w:rsid w:val="00DD33EE"/>
    <w:rsid w:val="00DD47A9"/>
    <w:rsid w:val="00DD533B"/>
    <w:rsid w:val="00DD768E"/>
    <w:rsid w:val="00DD7951"/>
    <w:rsid w:val="00DE2458"/>
    <w:rsid w:val="00DE2B06"/>
    <w:rsid w:val="00DF53D1"/>
    <w:rsid w:val="00DF621B"/>
    <w:rsid w:val="00E02F4B"/>
    <w:rsid w:val="00E06104"/>
    <w:rsid w:val="00E067A5"/>
    <w:rsid w:val="00E1033E"/>
    <w:rsid w:val="00E10DF8"/>
    <w:rsid w:val="00E15C42"/>
    <w:rsid w:val="00E1789C"/>
    <w:rsid w:val="00E21E47"/>
    <w:rsid w:val="00E22CBE"/>
    <w:rsid w:val="00E249B0"/>
    <w:rsid w:val="00E3498C"/>
    <w:rsid w:val="00E369B8"/>
    <w:rsid w:val="00E376FA"/>
    <w:rsid w:val="00E40293"/>
    <w:rsid w:val="00E41B45"/>
    <w:rsid w:val="00E44240"/>
    <w:rsid w:val="00E5214E"/>
    <w:rsid w:val="00E53748"/>
    <w:rsid w:val="00E53C01"/>
    <w:rsid w:val="00E6042F"/>
    <w:rsid w:val="00E61912"/>
    <w:rsid w:val="00E62C26"/>
    <w:rsid w:val="00E63E5B"/>
    <w:rsid w:val="00E65692"/>
    <w:rsid w:val="00E670F4"/>
    <w:rsid w:val="00E70349"/>
    <w:rsid w:val="00E753F1"/>
    <w:rsid w:val="00E7707F"/>
    <w:rsid w:val="00E80B77"/>
    <w:rsid w:val="00E81A93"/>
    <w:rsid w:val="00E81AD3"/>
    <w:rsid w:val="00E84881"/>
    <w:rsid w:val="00E86E7D"/>
    <w:rsid w:val="00E90792"/>
    <w:rsid w:val="00E951B8"/>
    <w:rsid w:val="00E97AF6"/>
    <w:rsid w:val="00EA0BBB"/>
    <w:rsid w:val="00EA399D"/>
    <w:rsid w:val="00EA50DD"/>
    <w:rsid w:val="00EB5D56"/>
    <w:rsid w:val="00EB78D2"/>
    <w:rsid w:val="00EC3AB9"/>
    <w:rsid w:val="00EC7636"/>
    <w:rsid w:val="00EC7D4A"/>
    <w:rsid w:val="00ED1384"/>
    <w:rsid w:val="00ED279C"/>
    <w:rsid w:val="00ED576C"/>
    <w:rsid w:val="00ED7E7E"/>
    <w:rsid w:val="00EE0B08"/>
    <w:rsid w:val="00EE41A3"/>
    <w:rsid w:val="00EF08AF"/>
    <w:rsid w:val="00EF228A"/>
    <w:rsid w:val="00EF376E"/>
    <w:rsid w:val="00EF4006"/>
    <w:rsid w:val="00EF5FEC"/>
    <w:rsid w:val="00F042AD"/>
    <w:rsid w:val="00F07320"/>
    <w:rsid w:val="00F0765A"/>
    <w:rsid w:val="00F1048E"/>
    <w:rsid w:val="00F12FEF"/>
    <w:rsid w:val="00F15625"/>
    <w:rsid w:val="00F263A5"/>
    <w:rsid w:val="00F27AFF"/>
    <w:rsid w:val="00F3225F"/>
    <w:rsid w:val="00F3482B"/>
    <w:rsid w:val="00F356E7"/>
    <w:rsid w:val="00F37D4A"/>
    <w:rsid w:val="00F40C84"/>
    <w:rsid w:val="00F42A40"/>
    <w:rsid w:val="00F50213"/>
    <w:rsid w:val="00F512DF"/>
    <w:rsid w:val="00F54274"/>
    <w:rsid w:val="00F60293"/>
    <w:rsid w:val="00F62DEA"/>
    <w:rsid w:val="00F662D5"/>
    <w:rsid w:val="00F707CC"/>
    <w:rsid w:val="00F733AC"/>
    <w:rsid w:val="00F7361F"/>
    <w:rsid w:val="00F81C64"/>
    <w:rsid w:val="00F822F6"/>
    <w:rsid w:val="00F9273C"/>
    <w:rsid w:val="00FA01FD"/>
    <w:rsid w:val="00FA08E3"/>
    <w:rsid w:val="00FA27EA"/>
    <w:rsid w:val="00FA3186"/>
    <w:rsid w:val="00FC055B"/>
    <w:rsid w:val="00FC1A51"/>
    <w:rsid w:val="00FC2564"/>
    <w:rsid w:val="00FD239D"/>
    <w:rsid w:val="00FE02C9"/>
    <w:rsid w:val="00FE0E0E"/>
    <w:rsid w:val="00FE1769"/>
    <w:rsid w:val="00FE4152"/>
    <w:rsid w:val="00FE52DE"/>
    <w:rsid w:val="00FE5CE2"/>
    <w:rsid w:val="00FF00AE"/>
    <w:rsid w:val="00FF2F35"/>
    <w:rsid w:val="00FF5EA3"/>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26E7EF-1174-4144-8CB7-ADFDE1A3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D0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15A"/>
    <w:pPr>
      <w:tabs>
        <w:tab w:val="center" w:pos="4986"/>
        <w:tab w:val="right" w:pos="9972"/>
      </w:tabs>
    </w:pPr>
  </w:style>
  <w:style w:type="character" w:customStyle="1" w:styleId="HeaderChar">
    <w:name w:val="Header Char"/>
    <w:link w:val="Header"/>
    <w:uiPriority w:val="99"/>
    <w:semiHidden/>
    <w:rsid w:val="00A34922"/>
    <w:rPr>
      <w:sz w:val="24"/>
      <w:szCs w:val="24"/>
      <w:lang w:val="en-US" w:eastAsia="en-US"/>
    </w:rPr>
  </w:style>
  <w:style w:type="paragraph" w:styleId="Footer">
    <w:name w:val="footer"/>
    <w:basedOn w:val="Normal"/>
    <w:link w:val="FooterChar"/>
    <w:uiPriority w:val="99"/>
    <w:rsid w:val="002F215A"/>
    <w:pPr>
      <w:tabs>
        <w:tab w:val="center" w:pos="4986"/>
        <w:tab w:val="right" w:pos="9972"/>
      </w:tabs>
    </w:pPr>
  </w:style>
  <w:style w:type="character" w:customStyle="1" w:styleId="FooterChar">
    <w:name w:val="Footer Char"/>
    <w:link w:val="Footer"/>
    <w:uiPriority w:val="99"/>
    <w:rsid w:val="00A34922"/>
    <w:rPr>
      <w:sz w:val="24"/>
      <w:szCs w:val="24"/>
      <w:lang w:val="en-US" w:eastAsia="en-US"/>
    </w:rPr>
  </w:style>
  <w:style w:type="table" w:styleId="TableGrid">
    <w:name w:val="Table Grid"/>
    <w:basedOn w:val="TableNormal"/>
    <w:uiPriority w:val="99"/>
    <w:rsid w:val="009E4CF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949C2"/>
  </w:style>
  <w:style w:type="character" w:styleId="Hyperlink">
    <w:name w:val="Hyperlink"/>
    <w:uiPriority w:val="99"/>
    <w:rsid w:val="00AE59A1"/>
    <w:rPr>
      <w:color w:val="0000FF"/>
      <w:u w:val="single"/>
    </w:rPr>
  </w:style>
  <w:style w:type="paragraph" w:styleId="BalloonText">
    <w:name w:val="Balloon Text"/>
    <w:basedOn w:val="Normal"/>
    <w:link w:val="BalloonTextChar"/>
    <w:uiPriority w:val="99"/>
    <w:semiHidden/>
    <w:rsid w:val="009B3941"/>
    <w:rPr>
      <w:sz w:val="0"/>
      <w:szCs w:val="0"/>
    </w:rPr>
  </w:style>
  <w:style w:type="character" w:customStyle="1" w:styleId="BalloonTextChar">
    <w:name w:val="Balloon Text Char"/>
    <w:link w:val="BalloonText"/>
    <w:uiPriority w:val="99"/>
    <w:semiHidden/>
    <w:rsid w:val="00A34922"/>
    <w:rPr>
      <w:sz w:val="0"/>
      <w:szCs w:val="0"/>
      <w:lang w:val="en-US" w:eastAsia="en-US"/>
    </w:rPr>
  </w:style>
  <w:style w:type="paragraph" w:customStyle="1" w:styleId="ListParagraph1">
    <w:name w:val="List Paragraph1"/>
    <w:basedOn w:val="Normal"/>
    <w:uiPriority w:val="99"/>
    <w:qFormat/>
    <w:rsid w:val="00B9331B"/>
    <w:pPr>
      <w:ind w:left="720"/>
    </w:pPr>
  </w:style>
  <w:style w:type="character" w:customStyle="1" w:styleId="DiagramaDiagrama4">
    <w:name w:val="Diagrama Diagrama4"/>
    <w:locked/>
    <w:rsid w:val="00C874D0"/>
    <w:rPr>
      <w:sz w:val="24"/>
      <w:szCs w:val="24"/>
      <w:lang w:val="en-US" w:eastAsia="en-US" w:bidi="ar-SA"/>
    </w:rPr>
  </w:style>
  <w:style w:type="paragraph" w:styleId="BodyText">
    <w:name w:val="Body Text"/>
    <w:basedOn w:val="Normal"/>
    <w:rsid w:val="00536D02"/>
    <w:pPr>
      <w:spacing w:after="120"/>
    </w:pPr>
    <w:rPr>
      <w:lang w:eastAsia="lt-LT"/>
    </w:rPr>
  </w:style>
  <w:style w:type="character" w:customStyle="1" w:styleId="FontStyle13">
    <w:name w:val="Font Style13"/>
    <w:rsid w:val="00536D02"/>
    <w:rPr>
      <w:rFonts w:ascii="Times New Roman" w:hAnsi="Times New Roman" w:cs="Times New Roman"/>
      <w:sz w:val="22"/>
      <w:szCs w:val="22"/>
    </w:rPr>
  </w:style>
  <w:style w:type="paragraph" w:styleId="BodyText2">
    <w:name w:val="Body Text 2"/>
    <w:basedOn w:val="Normal"/>
    <w:rsid w:val="00C7425F"/>
    <w:pPr>
      <w:spacing w:after="120" w:line="480" w:lineRule="auto"/>
    </w:pPr>
  </w:style>
  <w:style w:type="paragraph" w:customStyle="1" w:styleId="ISTATYMAS">
    <w:name w:val="ISTATYMAS"/>
    <w:rsid w:val="00C7425F"/>
    <w:pPr>
      <w:autoSpaceDE w:val="0"/>
      <w:autoSpaceDN w:val="0"/>
      <w:adjustRightInd w:val="0"/>
      <w:jc w:val="center"/>
    </w:pPr>
    <w:rPr>
      <w:rFonts w:ascii="TimesLT" w:hAnsi="TimesLT"/>
      <w:lang w:val="en-US" w:eastAsia="en-US"/>
    </w:rPr>
  </w:style>
  <w:style w:type="paragraph" w:styleId="FootnoteText">
    <w:name w:val="footnote text"/>
    <w:basedOn w:val="Normal"/>
    <w:link w:val="FootnoteTextChar"/>
    <w:uiPriority w:val="99"/>
    <w:semiHidden/>
    <w:unhideWhenUsed/>
    <w:rsid w:val="00B6384F"/>
    <w:rPr>
      <w:sz w:val="20"/>
      <w:szCs w:val="20"/>
    </w:rPr>
  </w:style>
  <w:style w:type="character" w:customStyle="1" w:styleId="FootnoteTextChar">
    <w:name w:val="Footnote Text Char"/>
    <w:basedOn w:val="DefaultParagraphFont"/>
    <w:link w:val="FootnoteText"/>
    <w:uiPriority w:val="99"/>
    <w:semiHidden/>
    <w:rsid w:val="00B6384F"/>
  </w:style>
  <w:style w:type="character" w:styleId="FootnoteReference">
    <w:name w:val="footnote reference"/>
    <w:uiPriority w:val="99"/>
    <w:semiHidden/>
    <w:unhideWhenUsed/>
    <w:rsid w:val="00B6384F"/>
    <w:rPr>
      <w:vertAlign w:val="superscript"/>
    </w:rPr>
  </w:style>
  <w:style w:type="paragraph" w:styleId="ListParagraph">
    <w:name w:val="List Paragraph"/>
    <w:basedOn w:val="Normal"/>
    <w:uiPriority w:val="34"/>
    <w:qFormat/>
    <w:rsid w:val="00885EF5"/>
    <w:pPr>
      <w:ind w:left="720"/>
      <w:contextualSpacing/>
    </w:pPr>
  </w:style>
  <w:style w:type="table" w:customStyle="1" w:styleId="Lentelstinklelis1">
    <w:name w:val="Lentelės tinklelis1"/>
    <w:basedOn w:val="TableNormal"/>
    <w:next w:val="TableGrid"/>
    <w:uiPriority w:val="59"/>
    <w:rsid w:val="00F707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atationtext">
    <w:name w:val="quatation_text"/>
    <w:basedOn w:val="DefaultParagraphFont"/>
    <w:rsid w:val="00F707CC"/>
    <w:rPr>
      <w:rFonts w:ascii="Arial" w:hAnsi="Arial" w:cs="Arial" w:hint="default"/>
      <w:b/>
      <w:bCs/>
      <w:vanish w:val="0"/>
      <w:webHidden w:val="0"/>
      <w:color w:val="4A473C"/>
      <w:sz w:val="17"/>
      <w:szCs w:val="17"/>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005137">
      <w:bodyDiv w:val="1"/>
      <w:marLeft w:val="0"/>
      <w:marRight w:val="0"/>
      <w:marTop w:val="0"/>
      <w:marBottom w:val="0"/>
      <w:divBdr>
        <w:top w:val="none" w:sz="0" w:space="0" w:color="auto"/>
        <w:left w:val="none" w:sz="0" w:space="0" w:color="auto"/>
        <w:bottom w:val="none" w:sz="0" w:space="0" w:color="auto"/>
        <w:right w:val="none" w:sz="0" w:space="0" w:color="auto"/>
      </w:divBdr>
    </w:div>
    <w:div w:id="1768117539">
      <w:bodyDiv w:val="1"/>
      <w:marLeft w:val="0"/>
      <w:marRight w:val="0"/>
      <w:marTop w:val="0"/>
      <w:marBottom w:val="0"/>
      <w:divBdr>
        <w:top w:val="none" w:sz="0" w:space="0" w:color="auto"/>
        <w:left w:val="none" w:sz="0" w:space="0" w:color="auto"/>
        <w:bottom w:val="none" w:sz="0" w:space="0" w:color="auto"/>
        <w:right w:val="none" w:sz="0" w:space="0" w:color="auto"/>
      </w:divBdr>
    </w:div>
    <w:div w:id="1783451771">
      <w:marLeft w:val="0"/>
      <w:marRight w:val="0"/>
      <w:marTop w:val="0"/>
      <w:marBottom w:val="0"/>
      <w:divBdr>
        <w:top w:val="none" w:sz="0" w:space="0" w:color="auto"/>
        <w:left w:val="none" w:sz="0" w:space="0" w:color="auto"/>
        <w:bottom w:val="none" w:sz="0" w:space="0" w:color="auto"/>
        <w:right w:val="none" w:sz="0" w:space="0" w:color="auto"/>
      </w:divBdr>
    </w:div>
    <w:div w:id="1941258218">
      <w:bodyDiv w:val="1"/>
      <w:marLeft w:val="0"/>
      <w:marRight w:val="0"/>
      <w:marTop w:val="0"/>
      <w:marBottom w:val="0"/>
      <w:divBdr>
        <w:top w:val="none" w:sz="0" w:space="0" w:color="auto"/>
        <w:left w:val="none" w:sz="0" w:space="0" w:color="auto"/>
        <w:bottom w:val="none" w:sz="0" w:space="0" w:color="auto"/>
        <w:right w:val="none" w:sz="0" w:space="0" w:color="auto"/>
      </w:divBdr>
    </w:div>
    <w:div w:id="19468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vgi@vgi.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2EB61-B920-423A-A64C-9C40A992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4765</Words>
  <Characters>2717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VGI</vt:lpstr>
      <vt:lpstr>VGI</vt:lpstr>
    </vt:vector>
  </TitlesOfParts>
  <Company>Lenovo</Company>
  <LinksUpToDate>false</LinksUpToDate>
  <CharactersWithSpaces>7468</CharactersWithSpaces>
  <SharedDoc>false</SharedDoc>
  <HLinks>
    <vt:vector size="12" baseType="variant">
      <vt:variant>
        <vt:i4>655458</vt:i4>
      </vt:variant>
      <vt:variant>
        <vt:i4>3</vt:i4>
      </vt:variant>
      <vt:variant>
        <vt:i4>0</vt:i4>
      </vt:variant>
      <vt:variant>
        <vt:i4>5</vt:i4>
      </vt:variant>
      <vt:variant>
        <vt:lpwstr>mailto:virginija.gelzinyte@vgi.lt</vt:lpwstr>
      </vt:variant>
      <vt:variant>
        <vt:lpwstr/>
      </vt:variant>
      <vt:variant>
        <vt:i4>917540</vt:i4>
      </vt:variant>
      <vt:variant>
        <vt:i4>0</vt:i4>
      </vt:variant>
      <vt:variant>
        <vt:i4>0</vt:i4>
      </vt:variant>
      <vt:variant>
        <vt:i4>5</vt:i4>
      </vt:variant>
      <vt:variant>
        <vt:lpwstr>mailto:vgi@vgi.lt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VGI</dc:title>
  <dc:creator>Jonas</dc:creator>
  <cp:lastModifiedBy>Regina Vaškelienė</cp:lastModifiedBy>
  <cp:revision>2</cp:revision>
  <cp:lastPrinted>2013-04-09T14:01:00Z</cp:lastPrinted>
  <dcterms:created xsi:type="dcterms:W3CDTF">2018-06-05T08:33:00Z</dcterms:created>
  <dcterms:modified xsi:type="dcterms:W3CDTF">2018-06-05T08:33:00Z</dcterms:modified>
</cp:coreProperties>
</file>