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BD0" w:rsidRDefault="00870BD0" w:rsidP="00870BD0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IŠVADA</w:t>
      </w:r>
    </w:p>
    <w:p w:rsidR="00870BD0" w:rsidRDefault="00870BD0" w:rsidP="00870BD0">
      <w:pPr>
        <w:jc w:val="center"/>
        <w:rPr>
          <w:b/>
          <w:bCs/>
        </w:rPr>
      </w:pPr>
      <w:r>
        <w:rPr>
          <w:b/>
          <w:bCs/>
        </w:rPr>
        <w:t>DĖL VEIKLOS SRIČIŲ, KURIOSE EGZISTUOJA DIDELĖ KORUPCIJOS PASIREIŠKIMO TIKIMYBĖ, NUSTATYMO</w:t>
      </w:r>
    </w:p>
    <w:p w:rsidR="004F67FF" w:rsidRPr="0037493D" w:rsidRDefault="00870BD0" w:rsidP="00A3749D">
      <w:pPr>
        <w:pStyle w:val="BodyText2"/>
        <w:spacing w:after="0" w:line="240" w:lineRule="auto"/>
        <w:rPr>
          <w:b/>
        </w:rPr>
      </w:pPr>
      <w:r>
        <w:rPr>
          <w:b/>
        </w:rPr>
        <w:t xml:space="preserve"> </w:t>
      </w:r>
    </w:p>
    <w:p w:rsidR="00870BD0" w:rsidRDefault="00870BD0" w:rsidP="00842B4E">
      <w:pPr>
        <w:ind w:firstLine="851"/>
        <w:jc w:val="both"/>
        <w:rPr>
          <w:color w:val="000000"/>
        </w:rPr>
      </w:pPr>
      <w:r>
        <w:rPr>
          <w:lang w:eastAsia="lt-LT"/>
        </w:rPr>
        <w:t>A</w:t>
      </w:r>
      <w:r w:rsidRPr="002B297E">
        <w:rPr>
          <w:lang w:eastAsia="lt-LT"/>
        </w:rPr>
        <w:t xml:space="preserve">tžvelgiant </w:t>
      </w:r>
      <w:r w:rsidRPr="00FC1A51">
        <w:rPr>
          <w:lang w:eastAsia="lt-LT"/>
        </w:rPr>
        <w:t xml:space="preserve">į tai, kad </w:t>
      </w:r>
      <w:r w:rsidRPr="002B297E">
        <w:rPr>
          <w:color w:val="000000"/>
        </w:rPr>
        <w:t>Susisiekimo ministerijos k</w:t>
      </w:r>
      <w:r w:rsidRPr="00FC1A51">
        <w:rPr>
          <w:color w:val="000000"/>
        </w:rPr>
        <w:t>orupcijos prevencijos komisijos 2015 m. liepos 10 d. posėdyje nuspręsta korupcijos pasireiškimo tikimybę šiais metais nustatyti transporto įmonių sertif</w:t>
      </w:r>
      <w:r w:rsidRPr="002B297E">
        <w:rPr>
          <w:color w:val="000000"/>
        </w:rPr>
        <w:t>ikavimo (licencijavimo) srityje</w:t>
      </w:r>
      <w:r>
        <w:rPr>
          <w:color w:val="000000"/>
        </w:rPr>
        <w:t>,</w:t>
      </w:r>
      <w:r>
        <w:rPr>
          <w:rStyle w:val="FootnoteReference"/>
          <w:color w:val="000000"/>
        </w:rPr>
        <w:footnoteReference w:id="1"/>
      </w:r>
      <w:r>
        <w:rPr>
          <w:color w:val="000000"/>
        </w:rPr>
        <w:t xml:space="preserve"> </w:t>
      </w:r>
      <w:r w:rsidRPr="00FC1A51">
        <w:rPr>
          <w:color w:val="000000"/>
        </w:rPr>
        <w:t xml:space="preserve">korupcijos </w:t>
      </w:r>
      <w:r>
        <w:rPr>
          <w:color w:val="000000"/>
        </w:rPr>
        <w:t xml:space="preserve">pasireiškimo tikimybė VGI nustatyta </w:t>
      </w:r>
      <w:r w:rsidRPr="00FC1A51">
        <w:rPr>
          <w:lang w:eastAsia="lt-LT"/>
        </w:rPr>
        <w:t>saugos sertifikato A ir B dalių (toliau – saugos sertifikatai) išdavimo</w:t>
      </w:r>
      <w:r>
        <w:rPr>
          <w:lang w:eastAsia="lt-LT"/>
        </w:rPr>
        <w:t>, pakeitimo, atnaujinimo</w:t>
      </w:r>
      <w:r w:rsidRPr="00FC1A51">
        <w:rPr>
          <w:lang w:eastAsia="lt-LT"/>
        </w:rPr>
        <w:t xml:space="preserve"> geležinkelio įmonėms (vežėjams) ir įmonėms, kurios atlieka manevravimą ir (ar) važiuoja į geležinkelių infrastruktūros objektų statybos, remonto ir (ar) techninės priežiūros darbų atlikimo vietą ir iš jos, (toliau –</w:t>
      </w:r>
      <w:r>
        <w:rPr>
          <w:lang w:eastAsia="lt-LT"/>
        </w:rPr>
        <w:t xml:space="preserve"> </w:t>
      </w:r>
      <w:r w:rsidRPr="00FC1A51">
        <w:rPr>
          <w:lang w:eastAsia="lt-LT"/>
        </w:rPr>
        <w:t xml:space="preserve">įmonės) </w:t>
      </w:r>
      <w:r>
        <w:rPr>
          <w:lang w:eastAsia="lt-LT"/>
        </w:rPr>
        <w:t>ir įgaliojimų geležinkelių transporto eismo saugos srityje</w:t>
      </w:r>
      <w:r w:rsidR="005E42B7">
        <w:rPr>
          <w:lang w:eastAsia="lt-LT"/>
        </w:rPr>
        <w:t xml:space="preserve"> A ir B dalių</w:t>
      </w:r>
      <w:r>
        <w:rPr>
          <w:lang w:eastAsia="lt-LT"/>
        </w:rPr>
        <w:t xml:space="preserve"> (toliau – įgaliojimai eismo saugos srityje) išdavimo pakeitimo, atnaujinimo geležinkelių </w:t>
      </w:r>
      <w:r w:rsidRPr="002B297E">
        <w:rPr>
          <w:lang w:eastAsia="lt-LT"/>
        </w:rPr>
        <w:t xml:space="preserve">infrastruktūros valdytojams </w:t>
      </w:r>
      <w:r w:rsidRPr="00FC1A51">
        <w:rPr>
          <w:lang w:eastAsia="lt-LT"/>
        </w:rPr>
        <w:t>srityje</w:t>
      </w:r>
      <w:r>
        <w:rPr>
          <w:lang w:eastAsia="lt-LT"/>
        </w:rPr>
        <w:t>.</w:t>
      </w:r>
    </w:p>
    <w:p w:rsidR="00F512DF" w:rsidRDefault="00F512DF" w:rsidP="00F512DF">
      <w:pPr>
        <w:ind w:firstLine="851"/>
        <w:jc w:val="both"/>
        <w:rPr>
          <w:lang w:eastAsia="lt-LT"/>
        </w:rPr>
      </w:pPr>
      <w:r>
        <w:rPr>
          <w:lang w:eastAsia="lt-LT"/>
        </w:rPr>
        <w:t xml:space="preserve">Saugos sertifikatų turėjimas yra viena iš sąlygų, kad geležinkelio įmonės (vežėjai) ir </w:t>
      </w:r>
      <w:r w:rsidRPr="00E22CBE">
        <w:rPr>
          <w:lang w:eastAsia="lt-LT"/>
        </w:rPr>
        <w:t>įmonės galėtų naudotis viešąja geležinkelių infrastruktūra.</w:t>
      </w:r>
      <w:r w:rsidRPr="00E22CBE">
        <w:rPr>
          <w:rStyle w:val="FootnoteReference"/>
          <w:lang w:eastAsia="lt-LT"/>
        </w:rPr>
        <w:footnoteReference w:id="2"/>
      </w:r>
      <w:r w:rsidRPr="00E22CBE">
        <w:rPr>
          <w:lang w:eastAsia="lt-LT"/>
        </w:rPr>
        <w:t xml:space="preserve"> Geležin</w:t>
      </w:r>
      <w:r>
        <w:rPr>
          <w:lang w:eastAsia="lt-LT"/>
        </w:rPr>
        <w:t>kelių infrastruktūros valdytojai</w:t>
      </w:r>
      <w:r w:rsidRPr="00E22CBE">
        <w:rPr>
          <w:lang w:eastAsia="lt-LT"/>
        </w:rPr>
        <w:t xml:space="preserve"> gali pradėti </w:t>
      </w:r>
      <w:r w:rsidRPr="00E22CBE">
        <w:rPr>
          <w:color w:val="000000"/>
        </w:rPr>
        <w:t>naudoti geležinkelių infrastruktūrą tik gavę įgaliojimus eismo saugos srityje.</w:t>
      </w:r>
      <w:r>
        <w:rPr>
          <w:rStyle w:val="FootnoteReference"/>
          <w:color w:val="000000"/>
        </w:rPr>
        <w:footnoteReference w:id="3"/>
      </w:r>
    </w:p>
    <w:p w:rsidR="00275AFD" w:rsidRPr="00275AFD" w:rsidRDefault="00275AFD" w:rsidP="00842B4E">
      <w:pPr>
        <w:ind w:firstLine="851"/>
        <w:jc w:val="both"/>
        <w:rPr>
          <w:lang w:eastAsia="lt-LT"/>
        </w:rPr>
      </w:pPr>
      <w:r w:rsidRPr="00275AFD">
        <w:rPr>
          <w:color w:val="000000"/>
        </w:rPr>
        <w:t xml:space="preserve">Nustatyta, kad saugos sertifikatų ir įgaliojimų eismo saugos srityje išdavimo, pakeitimo ir atnaujinimo sritis priskiriama prie sričių, kuriose egzistuoja didelė korupcijos pasireiškimo tikimybė, kadangi atitinka kriterijų </w:t>
      </w:r>
      <w:r w:rsidR="00DB6C1D">
        <w:rPr>
          <w:color w:val="000000"/>
        </w:rPr>
        <w:t>–</w:t>
      </w:r>
      <w:r w:rsidRPr="00275AFD">
        <w:rPr>
          <w:color w:val="000000"/>
        </w:rPr>
        <w:t xml:space="preserve"> veikla yra susijusi su leidimų, nuolaidų, lengvatų ir kitokių papildomų teisių suteikimu ar apribojimu.</w:t>
      </w:r>
      <w:r>
        <w:rPr>
          <w:rStyle w:val="FootnoteReference"/>
          <w:color w:val="000000"/>
        </w:rPr>
        <w:footnoteReference w:id="4"/>
      </w:r>
    </w:p>
    <w:p w:rsidR="00146002" w:rsidRDefault="00FC1A51" w:rsidP="00146002">
      <w:pPr>
        <w:ind w:firstLine="851"/>
        <w:jc w:val="both"/>
        <w:rPr>
          <w:lang w:eastAsia="lt-LT"/>
        </w:rPr>
      </w:pPr>
      <w:r w:rsidRPr="00FC1A51">
        <w:rPr>
          <w:lang w:eastAsia="lt-LT"/>
        </w:rPr>
        <w:t>Korupcijos pasireiškimo tikimybė buvo nustatyta įvertinus teisės aktuose įtvirtintą saugos sertifikatų</w:t>
      </w:r>
      <w:r w:rsidR="00842B4E">
        <w:rPr>
          <w:lang w:eastAsia="lt-LT"/>
        </w:rPr>
        <w:t xml:space="preserve"> ir įgaliojimų eismo saugos srityje</w:t>
      </w:r>
      <w:r w:rsidRPr="00FC1A51">
        <w:rPr>
          <w:lang w:eastAsia="lt-LT"/>
        </w:rPr>
        <w:t xml:space="preserve"> išdavimo, pakeitimo</w:t>
      </w:r>
      <w:r w:rsidR="00842B4E">
        <w:rPr>
          <w:lang w:eastAsia="lt-LT"/>
        </w:rPr>
        <w:t>, atnaujinimo</w:t>
      </w:r>
      <w:r w:rsidR="003D7DCA">
        <w:rPr>
          <w:lang w:eastAsia="lt-LT"/>
        </w:rPr>
        <w:t xml:space="preserve"> procedūrą.</w:t>
      </w:r>
    </w:p>
    <w:p w:rsidR="00612F49" w:rsidRDefault="00146002" w:rsidP="00612F49">
      <w:pPr>
        <w:ind w:firstLine="851"/>
        <w:jc w:val="both"/>
        <w:rPr>
          <w:lang w:eastAsia="lt-LT"/>
        </w:rPr>
      </w:pPr>
      <w:r>
        <w:t>V</w:t>
      </w:r>
      <w:r w:rsidR="000B65A0" w:rsidRPr="000B65A0">
        <w:t xml:space="preserve">ertinti </w:t>
      </w:r>
      <w:r>
        <w:t xml:space="preserve">šie </w:t>
      </w:r>
      <w:r w:rsidRPr="00FC1A51">
        <w:rPr>
          <w:lang w:eastAsia="lt-LT"/>
        </w:rPr>
        <w:t>saugos sertifikatų</w:t>
      </w:r>
      <w:r>
        <w:rPr>
          <w:lang w:eastAsia="lt-LT"/>
        </w:rPr>
        <w:t xml:space="preserve"> ir įgaliojimų eismo saugos srityje išdavimą, pakeitimą ir atnaujinimą</w:t>
      </w:r>
      <w:r w:rsidRPr="00FC1A51">
        <w:rPr>
          <w:lang w:eastAsia="lt-LT"/>
        </w:rPr>
        <w:t xml:space="preserve"> </w:t>
      </w:r>
      <w:r w:rsidR="000B65A0" w:rsidRPr="000B65A0">
        <w:t>reglamentuojantys teisės aktai:</w:t>
      </w:r>
    </w:p>
    <w:p w:rsidR="000B65A0" w:rsidRPr="000B65A0" w:rsidRDefault="000B65A0" w:rsidP="00612F49">
      <w:pPr>
        <w:pStyle w:val="ListParagraph"/>
        <w:numPr>
          <w:ilvl w:val="0"/>
          <w:numId w:val="16"/>
        </w:numPr>
        <w:tabs>
          <w:tab w:val="left" w:pos="1134"/>
        </w:tabs>
        <w:ind w:left="0" w:firstLine="786"/>
        <w:jc w:val="both"/>
        <w:rPr>
          <w:lang w:eastAsia="lt-LT"/>
        </w:rPr>
      </w:pPr>
      <w:r w:rsidRPr="000B65A0">
        <w:t>Geležinkelio</w:t>
      </w:r>
      <w:r w:rsidR="006D63FA">
        <w:t xml:space="preserve"> įmonių (vežėjų) ir geležinkelių</w:t>
      </w:r>
      <w:r w:rsidRPr="000B65A0">
        <w:t xml:space="preserve"> infrastruktūros valdytojų saugos sertifikavimo taisyklės</w:t>
      </w:r>
      <w:r w:rsidR="00C27674">
        <w:t xml:space="preserve">, patvirtintos Lietuvos Respublikos susisiekimo ministro 2003 m. sausio 23 d. įsakymu Nr. 3-37 „Dėl </w:t>
      </w:r>
      <w:r w:rsidR="00C27674" w:rsidRPr="000B65A0">
        <w:t>Geležinkelio</w:t>
      </w:r>
      <w:r w:rsidR="00C27674">
        <w:t xml:space="preserve"> įmonių (vežėjų) ir geležinkelių</w:t>
      </w:r>
      <w:r w:rsidR="00C27674" w:rsidRPr="000B65A0">
        <w:t xml:space="preserve"> infrastruktūros valdytoj</w:t>
      </w:r>
      <w:r w:rsidR="00C27674">
        <w:t>ų saugos sertifikavimo taisyklių patvirtinimo“</w:t>
      </w:r>
      <w:r w:rsidR="00F07320">
        <w:t xml:space="preserve"> (toliau – Taisyklės)</w:t>
      </w:r>
      <w:r w:rsidRPr="000B65A0">
        <w:t>;</w:t>
      </w:r>
    </w:p>
    <w:p w:rsidR="008F3C8E" w:rsidRDefault="008F3C8E" w:rsidP="007878E5">
      <w:pPr>
        <w:pStyle w:val="ListParagraph"/>
        <w:numPr>
          <w:ilvl w:val="0"/>
          <w:numId w:val="16"/>
        </w:numPr>
        <w:tabs>
          <w:tab w:val="left" w:pos="1134"/>
        </w:tabs>
        <w:ind w:left="0" w:firstLine="786"/>
        <w:jc w:val="both"/>
      </w:pPr>
      <w:r w:rsidRPr="000362E6">
        <w:t>Geležinkelio įmonių (vežėjų)</w:t>
      </w:r>
      <w:r>
        <w:t xml:space="preserve"> ir kitų įmonių</w:t>
      </w:r>
      <w:r w:rsidRPr="000362E6">
        <w:t>, pageidaujančių gauti sau</w:t>
      </w:r>
      <w:r>
        <w:t>gos sertifikato A ir (ar) B dalis (-į</w:t>
      </w:r>
      <w:r w:rsidRPr="000362E6">
        <w:t>)</w:t>
      </w:r>
      <w:r>
        <w:t>,</w:t>
      </w:r>
      <w:r w:rsidRPr="000362E6">
        <w:t xml:space="preserve"> bei geležinkelių infrastruktūros valdytojų, pageidaujančių gauti įgaliojimų eismo saugos srityje</w:t>
      </w:r>
      <w:r>
        <w:t xml:space="preserve"> A ir (ar) B dalis (-į), paraiškų</w:t>
      </w:r>
      <w:r w:rsidRPr="000362E6">
        <w:t xml:space="preserve"> </w:t>
      </w:r>
      <w:r>
        <w:t xml:space="preserve">ir kartu su paraiškomis pateiktų dokumentų </w:t>
      </w:r>
      <w:r w:rsidR="007878E5">
        <w:t xml:space="preserve">vertinimo tvarkos aprašas, patvirtintas Valstybinės geležinkelio inspekcijos prie susisiekimo ministerijos </w:t>
      </w:r>
      <w:r w:rsidR="00F07320">
        <w:t xml:space="preserve">2014 m. sausio 7 d. įsakymu Nr. V-5 „Dėl </w:t>
      </w:r>
      <w:r w:rsidR="00F07320" w:rsidRPr="000362E6">
        <w:t>Geležinkelio įmonių (vežėjų)</w:t>
      </w:r>
      <w:r w:rsidR="00F07320">
        <w:t xml:space="preserve"> ir kitų įmonių</w:t>
      </w:r>
      <w:r w:rsidR="00F07320" w:rsidRPr="000362E6">
        <w:t>, pageidaujančių gauti sau</w:t>
      </w:r>
      <w:r w:rsidR="00F07320">
        <w:t>gos sertifikato A ir (ar) B dalis (-į</w:t>
      </w:r>
      <w:r w:rsidR="00F07320" w:rsidRPr="000362E6">
        <w:t>)</w:t>
      </w:r>
      <w:r w:rsidR="00F07320">
        <w:t>,</w:t>
      </w:r>
      <w:r w:rsidR="00F07320" w:rsidRPr="000362E6">
        <w:t xml:space="preserve"> bei geležinkelių infrastruktūros valdytojų, pageidaujančių gauti įgaliojimų eismo saugos srityje</w:t>
      </w:r>
      <w:r w:rsidR="00F07320">
        <w:t xml:space="preserve"> A ir (ar) B dalis (-į), paraiškų</w:t>
      </w:r>
      <w:r w:rsidR="00F07320" w:rsidRPr="000362E6">
        <w:t xml:space="preserve"> </w:t>
      </w:r>
      <w:r w:rsidR="00F07320">
        <w:t xml:space="preserve">ir kartu su </w:t>
      </w:r>
      <w:r w:rsidR="00F07320">
        <w:lastRenderedPageBreak/>
        <w:t>paraiškomis pateiktų dokumentų vertinimo tvarkos aprašo patvirtinimo“ (su vėlesniais pakeitimais) (toliau – Aprašas).</w:t>
      </w:r>
    </w:p>
    <w:p w:rsidR="00B06917" w:rsidRDefault="00B06917" w:rsidP="00E22CBE">
      <w:pPr>
        <w:ind w:firstLine="851"/>
        <w:jc w:val="both"/>
        <w:rPr>
          <w:lang w:eastAsia="lt-LT"/>
        </w:rPr>
      </w:pPr>
      <w:r>
        <w:rPr>
          <w:lang w:eastAsia="lt-LT"/>
        </w:rPr>
        <w:t>Saugos sertifikatų ir įgaliojimų eismo saugo</w:t>
      </w:r>
      <w:r w:rsidR="00476CC3">
        <w:rPr>
          <w:lang w:eastAsia="lt-LT"/>
        </w:rPr>
        <w:t>s srityje išdavimo, pakeitimo,</w:t>
      </w:r>
      <w:r>
        <w:rPr>
          <w:lang w:eastAsia="lt-LT"/>
        </w:rPr>
        <w:t xml:space="preserve"> atnaujinimo procesų vertinimas atliktas </w:t>
      </w:r>
      <w:r w:rsidR="00476CC3">
        <w:rPr>
          <w:lang w:eastAsia="lt-LT"/>
        </w:rPr>
        <w:t>pagal</w:t>
      </w:r>
      <w:r>
        <w:rPr>
          <w:lang w:eastAsia="lt-LT"/>
        </w:rPr>
        <w:t xml:space="preserve"> </w:t>
      </w:r>
      <w:r w:rsidR="002A5BE1" w:rsidRPr="00FC1A51">
        <w:rPr>
          <w:lang w:eastAsia="lt-LT"/>
        </w:rPr>
        <w:t>Valstybės ar savivaldybės įstaigų veiklos sričių, kuriose egzistuoja didelė korupcijos pasireiškimo tiki</w:t>
      </w:r>
      <w:r w:rsidR="00476CC3">
        <w:rPr>
          <w:lang w:eastAsia="lt-LT"/>
        </w:rPr>
        <w:t>mybė, nustatymo rekomendacija</w:t>
      </w:r>
      <w:r w:rsidR="00E06104">
        <w:rPr>
          <w:lang w:eastAsia="lt-LT"/>
        </w:rPr>
        <w:t>s.</w:t>
      </w:r>
      <w:r w:rsidR="00E06104">
        <w:rPr>
          <w:rStyle w:val="FootnoteReference"/>
          <w:lang w:eastAsia="lt-LT"/>
        </w:rPr>
        <w:footnoteReference w:id="5"/>
      </w:r>
    </w:p>
    <w:p w:rsidR="00FC1A51" w:rsidRPr="00FC1A51" w:rsidRDefault="00FC1A51" w:rsidP="00423413">
      <w:pPr>
        <w:jc w:val="both"/>
        <w:rPr>
          <w:lang w:eastAsia="lt-LT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56"/>
        <w:gridCol w:w="4797"/>
        <w:gridCol w:w="4502"/>
      </w:tblGrid>
      <w:tr w:rsidR="0065687A" w:rsidTr="003A0D01">
        <w:tc>
          <w:tcPr>
            <w:tcW w:w="556" w:type="dxa"/>
          </w:tcPr>
          <w:p w:rsidR="0065687A" w:rsidRPr="0006659C" w:rsidRDefault="0065687A" w:rsidP="00BB7C0E">
            <w:pPr>
              <w:jc w:val="both"/>
            </w:pPr>
            <w:r>
              <w:t>Eil. Nr.</w:t>
            </w:r>
          </w:p>
        </w:tc>
        <w:tc>
          <w:tcPr>
            <w:tcW w:w="4797" w:type="dxa"/>
          </w:tcPr>
          <w:p w:rsidR="0065687A" w:rsidRDefault="0065687A" w:rsidP="00BB7C0E">
            <w:pPr>
              <w:jc w:val="both"/>
              <w:rPr>
                <w:lang w:eastAsia="lt-LT"/>
              </w:rPr>
            </w:pPr>
            <w:r w:rsidRPr="0006659C">
              <w:t>Korupcijos rizikos veiksnio apibūdinimas</w:t>
            </w:r>
          </w:p>
        </w:tc>
        <w:tc>
          <w:tcPr>
            <w:tcW w:w="4502" w:type="dxa"/>
          </w:tcPr>
          <w:p w:rsidR="0065687A" w:rsidRDefault="0065687A" w:rsidP="00852CE1">
            <w:pPr>
              <w:jc w:val="both"/>
              <w:rPr>
                <w:lang w:eastAsia="lt-LT"/>
              </w:rPr>
            </w:pPr>
            <w:r>
              <w:t>Įvertinimas</w:t>
            </w:r>
          </w:p>
        </w:tc>
      </w:tr>
      <w:tr w:rsidR="00B4459B" w:rsidTr="003A0D01">
        <w:tc>
          <w:tcPr>
            <w:tcW w:w="556" w:type="dxa"/>
            <w:vMerge w:val="restart"/>
            <w:vAlign w:val="center"/>
          </w:tcPr>
          <w:p w:rsidR="00B4459B" w:rsidRDefault="00B4459B" w:rsidP="00B4459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1.</w:t>
            </w:r>
          </w:p>
        </w:tc>
        <w:tc>
          <w:tcPr>
            <w:tcW w:w="4797" w:type="dxa"/>
          </w:tcPr>
          <w:p w:rsidR="00B4459B" w:rsidRDefault="00B4459B" w:rsidP="00BB7C0E">
            <w:pPr>
              <w:jc w:val="both"/>
              <w:rPr>
                <w:lang w:eastAsia="lt-LT"/>
              </w:rPr>
            </w:pPr>
            <w:r w:rsidRPr="00FC1A51">
              <w:rPr>
                <w:i/>
                <w:lang w:eastAsia="lt-LT"/>
              </w:rPr>
              <w:t>Ar valstybės ar savivaldybės įstaiga įstatymų ir kitų teisės norminių aktų pagrindu priėmė būtinus teisės aktus, nustatančius / detalizuojančius leidimų, licencijų, lengvatų, nuolaidų, kitokių papildomų teisių išdavimo / neišdavimo arba suteikimo / nesuteikimo, teisinės atsakomybės, kitų teisinio / ekonominio poveikio priemonių procedūras?</w:t>
            </w:r>
          </w:p>
        </w:tc>
        <w:tc>
          <w:tcPr>
            <w:tcW w:w="4502" w:type="dxa"/>
          </w:tcPr>
          <w:p w:rsidR="00B4459B" w:rsidRDefault="00DB2E5E" w:rsidP="00BB7C0E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Taip.</w:t>
            </w:r>
          </w:p>
          <w:p w:rsidR="00DB2E5E" w:rsidRDefault="00DB2E5E" w:rsidP="00DB2E5E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Saugos sertifikatų ir įgaliojimų eismo saugos srityje išdavimo, pakeitimo, atnaujinimo procedūros detaliai nurodytos Taisyklėse ir Apraše.</w:t>
            </w:r>
          </w:p>
        </w:tc>
      </w:tr>
      <w:tr w:rsidR="00B4459B" w:rsidTr="003A0D01">
        <w:tc>
          <w:tcPr>
            <w:tcW w:w="556" w:type="dxa"/>
            <w:vMerge/>
          </w:tcPr>
          <w:p w:rsidR="00B4459B" w:rsidRDefault="00B4459B" w:rsidP="00BB7C0E">
            <w:pPr>
              <w:jc w:val="both"/>
              <w:rPr>
                <w:lang w:eastAsia="lt-LT"/>
              </w:rPr>
            </w:pPr>
          </w:p>
        </w:tc>
        <w:tc>
          <w:tcPr>
            <w:tcW w:w="4797" w:type="dxa"/>
          </w:tcPr>
          <w:p w:rsidR="00B4459B" w:rsidRPr="0084219E" w:rsidRDefault="00B4459B" w:rsidP="00BB7C0E">
            <w:pPr>
              <w:jc w:val="both"/>
              <w:rPr>
                <w:b/>
                <w:i/>
                <w:lang w:eastAsia="lt-LT"/>
              </w:rPr>
            </w:pPr>
            <w:r w:rsidRPr="00FC1A51">
              <w:rPr>
                <w:i/>
                <w:lang w:eastAsia="lt-LT"/>
              </w:rPr>
              <w:t xml:space="preserve">Ar šiuose teisės aktuose aiškiai ir tiksliai reglamentuojama administracinės procedūros eiga, terminai, nustatyti konkretūs, objektyviai pamatuojami reikalavimai procedūroje dalyvaujantiems asmenims (pvz.: reikalavimai asmenų teisiniam statusui, asmenų pateikiamiems dokumentams ir kt.)? </w:t>
            </w:r>
          </w:p>
        </w:tc>
        <w:tc>
          <w:tcPr>
            <w:tcW w:w="4502" w:type="dxa"/>
          </w:tcPr>
          <w:p w:rsidR="00B4459B" w:rsidRPr="006E5D3C" w:rsidRDefault="001F696A" w:rsidP="00BB7C0E">
            <w:pPr>
              <w:jc w:val="both"/>
              <w:rPr>
                <w:lang w:eastAsia="lt-LT"/>
              </w:rPr>
            </w:pPr>
            <w:r w:rsidRPr="006E5D3C">
              <w:rPr>
                <w:lang w:eastAsia="lt-LT"/>
              </w:rPr>
              <w:t>Taip.</w:t>
            </w:r>
          </w:p>
          <w:p w:rsidR="00913551" w:rsidRDefault="006E5D3C" w:rsidP="006E5D3C">
            <w:pPr>
              <w:jc w:val="both"/>
              <w:rPr>
                <w:lang w:eastAsia="lt-LT"/>
              </w:rPr>
            </w:pPr>
            <w:r w:rsidRPr="006E5D3C">
              <w:rPr>
                <w:lang w:eastAsia="lt-LT"/>
              </w:rPr>
              <w:t>Taisyklėse ir Apraše aiškiai ir tiksliai reglamentuojama saugos sertifikatų ir įgaliojimų eismo saugos srityje išdavimo, pakeitimo, atnaujinimo eiga,</w:t>
            </w:r>
            <w:r w:rsidR="004906DA">
              <w:rPr>
                <w:lang w:eastAsia="lt-LT"/>
              </w:rPr>
              <w:t xml:space="preserve"> terminai, nustatyti </w:t>
            </w:r>
            <w:r w:rsidRPr="006E5D3C">
              <w:rPr>
                <w:lang w:eastAsia="lt-LT"/>
              </w:rPr>
              <w:t>reikalavimai procedūroje dalyvaujantiems asmenims.</w:t>
            </w:r>
          </w:p>
        </w:tc>
      </w:tr>
      <w:tr w:rsidR="0065687A" w:rsidTr="003A0D01">
        <w:tc>
          <w:tcPr>
            <w:tcW w:w="556" w:type="dxa"/>
            <w:vAlign w:val="center"/>
          </w:tcPr>
          <w:p w:rsidR="0065687A" w:rsidRDefault="007746E0" w:rsidP="007746E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2.</w:t>
            </w:r>
          </w:p>
        </w:tc>
        <w:tc>
          <w:tcPr>
            <w:tcW w:w="4797" w:type="dxa"/>
          </w:tcPr>
          <w:p w:rsidR="0065687A" w:rsidRDefault="00E369B8" w:rsidP="00BB7C0E">
            <w:pPr>
              <w:jc w:val="both"/>
              <w:rPr>
                <w:lang w:eastAsia="lt-LT"/>
              </w:rPr>
            </w:pPr>
            <w:r w:rsidRPr="00FC1A51">
              <w:rPr>
                <w:i/>
                <w:lang w:eastAsia="lt-LT"/>
              </w:rPr>
              <w:t>Ar valstybės ar savivaldybės įstaigos teisės aktuose aiškiai ir tiksliai numatyti leidimus, licencijas ir kitus dokumentus išduodantys / neišduodantys, teisinę atsakomybę ir kitas teisinio / ekonominio poveikio priemones taikantys subjektai (įstaigos padaliniai, valstybės tarnautojai ar darbuotojai), ar išsamiai apibrėžta šių subjektų kompetencija?</w:t>
            </w:r>
          </w:p>
        </w:tc>
        <w:tc>
          <w:tcPr>
            <w:tcW w:w="4502" w:type="dxa"/>
          </w:tcPr>
          <w:p w:rsidR="0065687A" w:rsidRPr="00B94144" w:rsidRDefault="00DB1124" w:rsidP="00BB7C0E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T</w:t>
            </w:r>
            <w:r w:rsidRPr="00B94144">
              <w:rPr>
                <w:lang w:eastAsia="lt-LT"/>
              </w:rPr>
              <w:t>aip.</w:t>
            </w:r>
          </w:p>
          <w:p w:rsidR="003007B9" w:rsidRPr="003007B9" w:rsidRDefault="00BC4D5D" w:rsidP="003007B9">
            <w:pPr>
              <w:tabs>
                <w:tab w:val="left" w:pos="993"/>
              </w:tabs>
              <w:jc w:val="both"/>
            </w:pPr>
            <w:r w:rsidRPr="00B94144">
              <w:rPr>
                <w:lang w:eastAsia="lt-LT"/>
              </w:rPr>
              <w:t xml:space="preserve">Taisyklių </w:t>
            </w:r>
            <w:r w:rsidR="00B94144" w:rsidRPr="00B94144">
              <w:rPr>
                <w:lang w:eastAsia="lt-LT"/>
              </w:rPr>
              <w:t>10 punkte nurodyta, kad s</w:t>
            </w:r>
            <w:r w:rsidR="00B34555">
              <w:rPr>
                <w:color w:val="000000"/>
              </w:rPr>
              <w:t>augos sertifikatus ir įgaliojimus</w:t>
            </w:r>
            <w:r w:rsidR="00B94144" w:rsidRPr="003007B9">
              <w:rPr>
                <w:color w:val="000000"/>
              </w:rPr>
              <w:t xml:space="preserve"> eismo saugos srityje išduoda VGI.</w:t>
            </w:r>
            <w:r w:rsidR="003007B9">
              <w:rPr>
                <w:color w:val="000000"/>
              </w:rPr>
              <w:t xml:space="preserve"> Apraše įtvirtinta, kad geležinkelio įmonių (vežėjų), įmonių ir geležinkelių infrastruktūros valdytojų </w:t>
            </w:r>
            <w:r w:rsidR="003007B9" w:rsidRPr="003007B9">
              <w:t xml:space="preserve">pateiktas paraiškas nagrinėja VGI viršininko įsakymu sudaryta </w:t>
            </w:r>
            <w:r w:rsidR="00B34555">
              <w:t>k</w:t>
            </w:r>
            <w:r w:rsidR="003007B9" w:rsidRPr="003007B9">
              <w:t>omisija.</w:t>
            </w:r>
            <w:r w:rsidR="003007B9">
              <w:t xml:space="preserve"> </w:t>
            </w:r>
            <w:r w:rsidR="003007B9" w:rsidRPr="003007B9">
              <w:t>Komisiją sudaro ne mažiau nei 4 nariai, kurių vienas skiriamas Komisijos pirmininku ir vienas – Komisijos sekretoriumi. Komisijos nariais gali būti VGI valstybės tarnautojai ir darbuotojai, dirbantys pagal darbo sutartį. Komisijos sudėtyje privalo būti bent vienas VGI Teisės skyriaus darbuotojas.</w:t>
            </w:r>
          </w:p>
          <w:p w:rsidR="00913551" w:rsidRDefault="00805CA7" w:rsidP="003007B9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Apraše yra detalizuotos</w:t>
            </w:r>
            <w:r w:rsidR="003007B9">
              <w:rPr>
                <w:lang w:eastAsia="lt-LT"/>
              </w:rPr>
              <w:t xml:space="preserve"> </w:t>
            </w:r>
            <w:r w:rsidR="003007B9" w:rsidRPr="003007B9">
              <w:rPr>
                <w:lang w:eastAsia="lt-LT"/>
              </w:rPr>
              <w:t xml:space="preserve">Komisijos </w:t>
            </w:r>
            <w:r w:rsidR="004565B5">
              <w:rPr>
                <w:lang w:eastAsia="lt-LT"/>
              </w:rPr>
              <w:t xml:space="preserve">funkcijos, </w:t>
            </w:r>
            <w:r w:rsidR="003007B9" w:rsidRPr="003007B9">
              <w:rPr>
                <w:lang w:eastAsia="lt-LT"/>
              </w:rPr>
              <w:t>įgaliojimai</w:t>
            </w:r>
            <w:r w:rsidR="004565B5">
              <w:rPr>
                <w:lang w:eastAsia="lt-LT"/>
              </w:rPr>
              <w:t>, teisės ir pareigos.</w:t>
            </w:r>
          </w:p>
        </w:tc>
      </w:tr>
      <w:tr w:rsidR="004E3F59" w:rsidTr="00316535">
        <w:tc>
          <w:tcPr>
            <w:tcW w:w="556" w:type="dxa"/>
            <w:vMerge w:val="restart"/>
            <w:vAlign w:val="center"/>
          </w:tcPr>
          <w:p w:rsidR="004E3F59" w:rsidRDefault="004E3F59" w:rsidP="0031653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3.</w:t>
            </w:r>
          </w:p>
        </w:tc>
        <w:tc>
          <w:tcPr>
            <w:tcW w:w="4797" w:type="dxa"/>
          </w:tcPr>
          <w:p w:rsidR="004E3F59" w:rsidRDefault="004E3F59" w:rsidP="00BB7C0E">
            <w:pPr>
              <w:jc w:val="both"/>
              <w:rPr>
                <w:lang w:eastAsia="lt-LT"/>
              </w:rPr>
            </w:pPr>
            <w:r w:rsidRPr="00FC1A51">
              <w:rPr>
                <w:i/>
                <w:lang w:eastAsia="lt-LT"/>
              </w:rPr>
              <w:t>Ar valstybės ar savivaldybės įstaigos teisės aktai suteikia įgaliojimus išduoti / suteikti leidimus, licencijas ir kitus dokumentus, taikyti teisinę atsakomybę, kitas teisinio / ekonominio poveikio priemones kolegialiai institucijai?</w:t>
            </w:r>
          </w:p>
        </w:tc>
        <w:tc>
          <w:tcPr>
            <w:tcW w:w="4502" w:type="dxa"/>
          </w:tcPr>
          <w:p w:rsidR="004E3F59" w:rsidRDefault="0070128B" w:rsidP="00BB7C0E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Ne.</w:t>
            </w:r>
          </w:p>
          <w:p w:rsidR="001E5B9C" w:rsidRDefault="001E5B9C" w:rsidP="00BB7C0E">
            <w:pPr>
              <w:jc w:val="both"/>
              <w:rPr>
                <w:lang w:eastAsia="lt-LT"/>
              </w:rPr>
            </w:pPr>
          </w:p>
        </w:tc>
      </w:tr>
      <w:tr w:rsidR="004E3F59" w:rsidTr="003A0D01">
        <w:tc>
          <w:tcPr>
            <w:tcW w:w="556" w:type="dxa"/>
            <w:vMerge/>
          </w:tcPr>
          <w:p w:rsidR="004E3F59" w:rsidRDefault="004E3F59" w:rsidP="00BB7C0E">
            <w:pPr>
              <w:jc w:val="both"/>
              <w:rPr>
                <w:lang w:eastAsia="lt-LT"/>
              </w:rPr>
            </w:pPr>
          </w:p>
        </w:tc>
        <w:tc>
          <w:tcPr>
            <w:tcW w:w="4797" w:type="dxa"/>
          </w:tcPr>
          <w:p w:rsidR="004E3F59" w:rsidRPr="0084219E" w:rsidRDefault="004E3F59" w:rsidP="00BB7C0E">
            <w:pPr>
              <w:jc w:val="both"/>
              <w:rPr>
                <w:b/>
                <w:i/>
                <w:lang w:eastAsia="lt-LT"/>
              </w:rPr>
            </w:pPr>
            <w:r w:rsidRPr="00FC1A51">
              <w:rPr>
                <w:i/>
                <w:lang w:eastAsia="lt-LT"/>
              </w:rPr>
              <w:t xml:space="preserve">Jei taip, ar teisės aktai detaliai reglamentuoja kolegialios institucijos sudarymo, sudėties atnaujinimo, narių skyrimo, administracinės </w:t>
            </w:r>
            <w:r w:rsidRPr="00FC1A51">
              <w:rPr>
                <w:i/>
                <w:lang w:eastAsia="lt-LT"/>
              </w:rPr>
              <w:lastRenderedPageBreak/>
              <w:t xml:space="preserve">procedūros sprendimo priėmimo tvarką? Ar šie teisės aktai numato kolegialios institucijos narių individualią atsakomybę už priimtus sprendimus? </w:t>
            </w:r>
          </w:p>
        </w:tc>
        <w:tc>
          <w:tcPr>
            <w:tcW w:w="4502" w:type="dxa"/>
          </w:tcPr>
          <w:p w:rsidR="004E3F59" w:rsidRDefault="0070128B" w:rsidP="00BB7C0E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lastRenderedPageBreak/>
              <w:t>-</w:t>
            </w:r>
          </w:p>
        </w:tc>
      </w:tr>
      <w:tr w:rsidR="00D64C06" w:rsidTr="00164431">
        <w:tc>
          <w:tcPr>
            <w:tcW w:w="556" w:type="dxa"/>
            <w:vMerge w:val="restart"/>
            <w:vAlign w:val="center"/>
          </w:tcPr>
          <w:p w:rsidR="00D64C06" w:rsidRDefault="00D64C06" w:rsidP="0016443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4.</w:t>
            </w:r>
          </w:p>
        </w:tc>
        <w:tc>
          <w:tcPr>
            <w:tcW w:w="4797" w:type="dxa"/>
          </w:tcPr>
          <w:p w:rsidR="00D64C06" w:rsidRDefault="00D64C06" w:rsidP="00D64C06">
            <w:pPr>
              <w:jc w:val="both"/>
              <w:rPr>
                <w:lang w:eastAsia="lt-LT"/>
              </w:rPr>
            </w:pPr>
            <w:r w:rsidRPr="00FC1A51">
              <w:rPr>
                <w:i/>
                <w:lang w:eastAsia="lt-LT"/>
              </w:rPr>
              <w:t xml:space="preserve">Ar valstybės ar savivaldybės įstaigos teisės aktuose įtvirtinti aiškūs kriterijai, principai, kuriais vadovaujantis priimamas sprendimas išduoti / neišduoti leidimus, licencijas ir kitus dokumentus? </w:t>
            </w:r>
          </w:p>
        </w:tc>
        <w:tc>
          <w:tcPr>
            <w:tcW w:w="4502" w:type="dxa"/>
          </w:tcPr>
          <w:p w:rsidR="005A659D" w:rsidRDefault="005A659D" w:rsidP="00220B84">
            <w:pPr>
              <w:tabs>
                <w:tab w:val="left" w:pos="566"/>
              </w:tabs>
              <w:jc w:val="both"/>
              <w:rPr>
                <w:lang w:eastAsia="lt-LT"/>
              </w:rPr>
            </w:pPr>
            <w:r>
              <w:rPr>
                <w:lang w:eastAsia="lt-LT"/>
              </w:rPr>
              <w:t>Taip.</w:t>
            </w:r>
          </w:p>
          <w:p w:rsidR="00D8268C" w:rsidRDefault="00D8268C" w:rsidP="00220B84">
            <w:pPr>
              <w:tabs>
                <w:tab w:val="left" w:pos="566"/>
              </w:tabs>
              <w:jc w:val="both"/>
              <w:rPr>
                <w:lang w:eastAsia="lt-LT"/>
              </w:rPr>
            </w:pPr>
            <w:r>
              <w:rPr>
                <w:lang w:eastAsia="lt-LT"/>
              </w:rPr>
              <w:t>Sprendimų</w:t>
            </w:r>
            <w:r w:rsidR="00D64C06" w:rsidRPr="00FC1A51">
              <w:rPr>
                <w:lang w:eastAsia="lt-LT"/>
              </w:rPr>
              <w:t xml:space="preserve"> išduoti</w:t>
            </w:r>
            <w:r>
              <w:rPr>
                <w:lang w:eastAsia="lt-LT"/>
              </w:rPr>
              <w:t>, pakeisti, atnaujinti saugos sertifikatus ir įgaliojimus eismo saugos srityje</w:t>
            </w:r>
            <w:r w:rsidR="00D64C06" w:rsidRPr="00FC1A51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priėmimo terminai nustatyti Taisyklėse</w:t>
            </w:r>
            <w:r w:rsidR="00D64C06" w:rsidRPr="00FC1A51">
              <w:rPr>
                <w:lang w:eastAsia="lt-LT"/>
              </w:rPr>
              <w:t xml:space="preserve">, </w:t>
            </w:r>
            <w:r>
              <w:rPr>
                <w:lang w:eastAsia="lt-LT"/>
              </w:rPr>
              <w:t>atskirų Komisijos veiksmų terminai yra detalizuoti Apraše.</w:t>
            </w:r>
          </w:p>
          <w:p w:rsidR="00D64C06" w:rsidRDefault="005A659D" w:rsidP="005A659D">
            <w:pPr>
              <w:tabs>
                <w:tab w:val="left" w:pos="566"/>
              </w:tabs>
              <w:jc w:val="both"/>
              <w:rPr>
                <w:lang w:eastAsia="lt-LT"/>
              </w:rPr>
            </w:pPr>
            <w:r>
              <w:rPr>
                <w:lang w:eastAsia="lt-LT"/>
              </w:rPr>
              <w:t>K</w:t>
            </w:r>
            <w:r w:rsidR="00D64C06" w:rsidRPr="00FC1A51">
              <w:rPr>
                <w:lang w:eastAsia="lt-LT"/>
              </w:rPr>
              <w:t>riterijai, kuriais vadovaujamasi priimant sprendim</w:t>
            </w:r>
            <w:r w:rsidR="00325CA4">
              <w:rPr>
                <w:lang w:eastAsia="lt-LT"/>
              </w:rPr>
              <w:t>us</w:t>
            </w:r>
            <w:r w:rsidR="00D64C06" w:rsidRPr="00FC1A51">
              <w:rPr>
                <w:lang w:eastAsia="lt-LT"/>
              </w:rPr>
              <w:t xml:space="preserve"> išduoti</w:t>
            </w:r>
            <w:r>
              <w:rPr>
                <w:lang w:eastAsia="lt-LT"/>
              </w:rPr>
              <w:t xml:space="preserve"> arba atsisakyti išduoti, atnaujinti ar pakeisti</w:t>
            </w:r>
            <w:r w:rsidR="00D64C06" w:rsidRPr="00FC1A51">
              <w:rPr>
                <w:lang w:eastAsia="lt-LT"/>
              </w:rPr>
              <w:t xml:space="preserve"> saugos sertifikatą </w:t>
            </w:r>
            <w:r>
              <w:rPr>
                <w:lang w:eastAsia="lt-LT"/>
              </w:rPr>
              <w:t xml:space="preserve">ir įgaliojimus eismo saugos srityje nustatyti </w:t>
            </w:r>
            <w:r>
              <w:rPr>
                <w:rFonts w:eastAsia="Calibri"/>
              </w:rPr>
              <w:t>Komisijos reglamente</w:t>
            </w:r>
            <w:r w:rsidRPr="00FC1A51">
              <w:rPr>
                <w:rFonts w:eastAsia="Calibri"/>
              </w:rPr>
              <w:t xml:space="preserve"> (ES) Nr. 1158/2010 dėl bendrojo saugos būdo, skirto įvertinti, kaip laikomasi reikalavimų geležinkelių saugos sertifikatui gauti </w:t>
            </w:r>
            <w:r>
              <w:rPr>
                <w:rFonts w:eastAsia="Calibri"/>
              </w:rPr>
              <w:t xml:space="preserve">ir Komisijos </w:t>
            </w:r>
            <w:r w:rsidRPr="005A659D">
              <w:rPr>
                <w:rFonts w:eastAsia="Calibri"/>
              </w:rPr>
              <w:t xml:space="preserve">reglamente (ES) Nr. 1169/2010 </w:t>
            </w:r>
            <w:r w:rsidRPr="005A659D">
              <w:t>dėl bendrojo saugos būdo, skirto įvertinti, kaip laikomasi reikalavimų įgaliojimams geležinkelių saugos srityje gauti</w:t>
            </w:r>
            <w:r>
              <w:t>.</w:t>
            </w:r>
          </w:p>
        </w:tc>
      </w:tr>
      <w:tr w:rsidR="00D64C06" w:rsidTr="00164431">
        <w:tc>
          <w:tcPr>
            <w:tcW w:w="556" w:type="dxa"/>
            <w:vMerge/>
            <w:vAlign w:val="center"/>
          </w:tcPr>
          <w:p w:rsidR="00D64C06" w:rsidRDefault="00D64C06" w:rsidP="00164431">
            <w:pPr>
              <w:jc w:val="center"/>
              <w:rPr>
                <w:lang w:eastAsia="lt-LT"/>
              </w:rPr>
            </w:pPr>
          </w:p>
        </w:tc>
        <w:tc>
          <w:tcPr>
            <w:tcW w:w="4797" w:type="dxa"/>
          </w:tcPr>
          <w:p w:rsidR="00D64C06" w:rsidRPr="00FC1A51" w:rsidRDefault="00D64C06" w:rsidP="00BB7C0E">
            <w:pPr>
              <w:jc w:val="both"/>
              <w:rPr>
                <w:i/>
                <w:lang w:eastAsia="lt-LT"/>
              </w:rPr>
            </w:pPr>
            <w:r w:rsidRPr="00FC1A51">
              <w:rPr>
                <w:i/>
                <w:lang w:eastAsia="lt-LT"/>
              </w:rPr>
              <w:t>Ar numatyti konkretūs administracinės procedūros sprendimų priėmimo terminai?</w:t>
            </w:r>
          </w:p>
        </w:tc>
        <w:tc>
          <w:tcPr>
            <w:tcW w:w="4502" w:type="dxa"/>
          </w:tcPr>
          <w:p w:rsidR="00D64C06" w:rsidRDefault="006F438C" w:rsidP="00220B84">
            <w:pPr>
              <w:tabs>
                <w:tab w:val="left" w:pos="566"/>
              </w:tabs>
              <w:jc w:val="both"/>
              <w:rPr>
                <w:lang w:eastAsia="lt-LT"/>
              </w:rPr>
            </w:pPr>
            <w:r>
              <w:rPr>
                <w:lang w:eastAsia="lt-LT"/>
              </w:rPr>
              <w:t>Taip.</w:t>
            </w:r>
          </w:p>
          <w:p w:rsidR="00913551" w:rsidRPr="00FC1A51" w:rsidRDefault="006F438C" w:rsidP="002C7D15">
            <w:pPr>
              <w:tabs>
                <w:tab w:val="left" w:pos="566"/>
              </w:tabs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Taisyklių </w:t>
            </w:r>
            <w:r w:rsidR="002C7D15">
              <w:rPr>
                <w:lang w:eastAsia="lt-LT"/>
              </w:rPr>
              <w:t>17 ir 53 punktuose numatyti konkretūs sprendimų dėl saugos sertifikatų ir įgaliojimų eismo saugos srityje išdavimo, atnaujinimo ar pakeitimo priėmimo terminai.</w:t>
            </w:r>
          </w:p>
        </w:tc>
      </w:tr>
      <w:tr w:rsidR="004508C6" w:rsidTr="00FA3186">
        <w:tc>
          <w:tcPr>
            <w:tcW w:w="556" w:type="dxa"/>
            <w:vMerge w:val="restart"/>
            <w:vAlign w:val="center"/>
          </w:tcPr>
          <w:p w:rsidR="004508C6" w:rsidRDefault="004508C6" w:rsidP="00FA3186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5.</w:t>
            </w:r>
          </w:p>
        </w:tc>
        <w:tc>
          <w:tcPr>
            <w:tcW w:w="4797" w:type="dxa"/>
          </w:tcPr>
          <w:p w:rsidR="004508C6" w:rsidRPr="00FC1A51" w:rsidRDefault="004508C6" w:rsidP="00FA3186">
            <w:pPr>
              <w:jc w:val="both"/>
              <w:rPr>
                <w:i/>
                <w:lang w:eastAsia="lt-LT"/>
              </w:rPr>
            </w:pPr>
            <w:r w:rsidRPr="00FC1A51">
              <w:rPr>
                <w:i/>
                <w:lang w:eastAsia="lt-LT"/>
              </w:rPr>
              <w:t xml:space="preserve">Ar teisinis reglamentavimas užtikrina veiklos ar atskirų tokios veiklos subjektų santykių skaidrumą? </w:t>
            </w:r>
          </w:p>
          <w:p w:rsidR="004508C6" w:rsidRDefault="004508C6" w:rsidP="00BB7C0E">
            <w:pPr>
              <w:jc w:val="both"/>
              <w:rPr>
                <w:lang w:eastAsia="lt-LT"/>
              </w:rPr>
            </w:pPr>
          </w:p>
        </w:tc>
        <w:tc>
          <w:tcPr>
            <w:tcW w:w="4502" w:type="dxa"/>
          </w:tcPr>
          <w:p w:rsidR="001355CA" w:rsidRPr="00381360" w:rsidRDefault="001355CA" w:rsidP="001355CA">
            <w:pPr>
              <w:jc w:val="both"/>
              <w:rPr>
                <w:lang w:eastAsia="lt-LT"/>
              </w:rPr>
            </w:pPr>
            <w:r w:rsidRPr="00381360">
              <w:rPr>
                <w:lang w:eastAsia="lt-LT"/>
              </w:rPr>
              <w:t xml:space="preserve">Taip. </w:t>
            </w:r>
          </w:p>
          <w:p w:rsidR="001355CA" w:rsidRPr="00381360" w:rsidRDefault="001355CA" w:rsidP="001355CA">
            <w:pPr>
              <w:jc w:val="both"/>
              <w:rPr>
                <w:lang w:eastAsia="lt-LT"/>
              </w:rPr>
            </w:pPr>
            <w:r w:rsidRPr="00381360">
              <w:rPr>
                <w:lang w:eastAsia="lt-LT"/>
              </w:rPr>
              <w:t>Taisyklės ir Aprašas skelbiami viešai. Be to, pagal Taisyklių 78 punktą informacija apie VGI sprendimus</w:t>
            </w:r>
            <w:r w:rsidR="00EF4006">
              <w:rPr>
                <w:lang w:eastAsia="lt-LT"/>
              </w:rPr>
              <w:t xml:space="preserve"> sertifikavimo srityje skelbiama</w:t>
            </w:r>
            <w:r w:rsidRPr="00381360">
              <w:rPr>
                <w:lang w:eastAsia="lt-LT"/>
              </w:rPr>
              <w:t xml:space="preserve"> VGI interneto svetainėje, o Taisyklių 12.3 </w:t>
            </w:r>
            <w:r w:rsidR="00381360" w:rsidRPr="00381360">
              <w:rPr>
                <w:lang w:eastAsia="lt-LT"/>
              </w:rPr>
              <w:t>papunktyje yra įtvirtinta VGI pareiga</w:t>
            </w:r>
            <w:r w:rsidRPr="00381360">
              <w:rPr>
                <w:lang w:eastAsia="lt-LT"/>
              </w:rPr>
              <w:t xml:space="preserve"> visus savo sprendimus grįsti nustatytais faktais ir teisės aktais, savo sprendimus motyvuoti.</w:t>
            </w:r>
          </w:p>
          <w:p w:rsidR="004508C6" w:rsidRDefault="009423B9" w:rsidP="0084219E">
            <w:pPr>
              <w:tabs>
                <w:tab w:val="left" w:pos="1134"/>
                <w:tab w:val="left" w:pos="1418"/>
              </w:tabs>
              <w:jc w:val="both"/>
            </w:pPr>
            <w:r>
              <w:rPr>
                <w:lang w:val="en-GB" w:eastAsia="lt-LT"/>
              </w:rPr>
              <w:t xml:space="preserve">Be to, </w:t>
            </w:r>
            <w:r w:rsidR="00EF4006">
              <w:rPr>
                <w:lang w:eastAsia="lt-LT"/>
              </w:rPr>
              <w:t>Pagal Aprašo 8.1 papunktį</w:t>
            </w:r>
            <w:r>
              <w:rPr>
                <w:lang w:eastAsia="lt-LT"/>
              </w:rPr>
              <w:t xml:space="preserve"> vienas iš principų, kuriuo vadovaujantis organizuojamas Komisija darbas –</w:t>
            </w:r>
            <w:r>
              <w:t xml:space="preserve">nepriklausomumo ir objektyvumo, t. y. </w:t>
            </w:r>
            <w:r w:rsidRPr="00B40351">
              <w:t>vertinimas turi būti atliekamas objektyviai ir nešališkai, vengiant bet kokio pašalinių asmenų ar inst</w:t>
            </w:r>
            <w:r w:rsidR="00C142DC">
              <w:t>itucijų kišimosi ir asmeniškumų, pagal Aprašo 12 punktą Komisijos nariai, prieš pradėdami vykdyti Apraše nurodytas funkcijas turi pasirašyti nešališkumo deklaracijas ir konfidencialumo pasižadėjimus.</w:t>
            </w:r>
          </w:p>
        </w:tc>
      </w:tr>
      <w:tr w:rsidR="004508C6" w:rsidTr="003A0D01">
        <w:tc>
          <w:tcPr>
            <w:tcW w:w="556" w:type="dxa"/>
            <w:vMerge/>
          </w:tcPr>
          <w:p w:rsidR="004508C6" w:rsidRDefault="004508C6" w:rsidP="00BB7C0E">
            <w:pPr>
              <w:jc w:val="both"/>
              <w:rPr>
                <w:lang w:eastAsia="lt-LT"/>
              </w:rPr>
            </w:pPr>
          </w:p>
        </w:tc>
        <w:tc>
          <w:tcPr>
            <w:tcW w:w="4797" w:type="dxa"/>
          </w:tcPr>
          <w:p w:rsidR="004508C6" w:rsidRDefault="004508C6" w:rsidP="00BB7C0E">
            <w:pPr>
              <w:jc w:val="both"/>
              <w:rPr>
                <w:lang w:eastAsia="lt-LT"/>
              </w:rPr>
            </w:pPr>
            <w:r w:rsidRPr="00FC1A51">
              <w:rPr>
                <w:i/>
                <w:lang w:eastAsia="lt-LT"/>
              </w:rPr>
              <w:t xml:space="preserve">Ar teisinis reglamentavimas nesukuria nevienodų (taikant išimtis ar lengvatas kai kuriems tokios veiklos subjektams) ar </w:t>
            </w:r>
            <w:r w:rsidRPr="00FC1A51">
              <w:rPr>
                <w:i/>
                <w:lang w:eastAsia="lt-LT"/>
              </w:rPr>
              <w:lastRenderedPageBreak/>
              <w:t>diskriminuojančių sąlygų tam tikroje srityje veikiantiems subjektams</w:t>
            </w:r>
            <w:r w:rsidRPr="00FC1A51">
              <w:rPr>
                <w:b/>
                <w:i/>
                <w:lang w:eastAsia="lt-LT"/>
              </w:rPr>
              <w:t>?</w:t>
            </w:r>
          </w:p>
        </w:tc>
        <w:tc>
          <w:tcPr>
            <w:tcW w:w="4502" w:type="dxa"/>
          </w:tcPr>
          <w:p w:rsidR="004508C6" w:rsidRDefault="001355CA" w:rsidP="00BB7C0E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lastRenderedPageBreak/>
              <w:t>Ne.</w:t>
            </w:r>
          </w:p>
          <w:p w:rsidR="00D03BD8" w:rsidRDefault="00B40351" w:rsidP="0084219E">
            <w:pPr>
              <w:tabs>
                <w:tab w:val="left" w:pos="1134"/>
                <w:tab w:val="left" w:pos="1418"/>
              </w:tabs>
              <w:jc w:val="both"/>
            </w:pPr>
            <w:r>
              <w:rPr>
                <w:lang w:eastAsia="lt-LT"/>
              </w:rPr>
              <w:t xml:space="preserve">Pagal Aprašo 8.1 papunktį, vienas iš principų, kuriuo vadovaujantis </w:t>
            </w:r>
            <w:r>
              <w:rPr>
                <w:lang w:eastAsia="lt-LT"/>
              </w:rPr>
              <w:lastRenderedPageBreak/>
              <w:t>organizuojamas Komisija darbas –</w:t>
            </w:r>
            <w:r>
              <w:t xml:space="preserve">nepriklausomumo ir objektyvumo, t. y. </w:t>
            </w:r>
            <w:r w:rsidRPr="00B40351">
              <w:t>vertinimas turi būti atliekamas objektyviai ir nešališkai, vengiant bet kokio pašalinių asmenų ar institucijų kišimosi ir asmeniškumų.</w:t>
            </w:r>
            <w:r w:rsidR="00CE40B8">
              <w:t xml:space="preserve"> Be to, pagal Aprašo 12 punktą Komisijos nariai, prieš pradėdami vykdyti Apraše nurodytas funkcijas turi pasirašyti </w:t>
            </w:r>
            <w:r w:rsidR="00C142DC">
              <w:t>nešališkumo deklaracijas ir konfidencialumo pasižadėjimus.</w:t>
            </w:r>
          </w:p>
        </w:tc>
      </w:tr>
      <w:tr w:rsidR="000C0646" w:rsidTr="00161440">
        <w:tc>
          <w:tcPr>
            <w:tcW w:w="556" w:type="dxa"/>
            <w:vAlign w:val="center"/>
          </w:tcPr>
          <w:p w:rsidR="000C0646" w:rsidRDefault="00161440" w:rsidP="0016144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lastRenderedPageBreak/>
              <w:t>6.</w:t>
            </w:r>
          </w:p>
        </w:tc>
        <w:tc>
          <w:tcPr>
            <w:tcW w:w="4797" w:type="dxa"/>
          </w:tcPr>
          <w:p w:rsidR="000C0646" w:rsidRDefault="00161440" w:rsidP="00BB7C0E">
            <w:pPr>
              <w:jc w:val="both"/>
              <w:rPr>
                <w:lang w:eastAsia="lt-LT"/>
              </w:rPr>
            </w:pPr>
            <w:r w:rsidRPr="00FC1A51">
              <w:rPr>
                <w:i/>
                <w:lang w:eastAsia="lt-LT"/>
              </w:rPr>
              <w:t>Ar valstybės ar savivaldybės įstaigos teisės aktuose atskirtas sprendimo išduoti / neišduoti leidimus, licencijas ir kitus dokumentus priėmimo ir licencijuojamos ar kitokios veiklos priežiūros / kontrolės bei sankcijų taikymo funkcijų įgyvendinimas?</w:t>
            </w:r>
          </w:p>
        </w:tc>
        <w:tc>
          <w:tcPr>
            <w:tcW w:w="4502" w:type="dxa"/>
          </w:tcPr>
          <w:p w:rsidR="000C0646" w:rsidRPr="001157EC" w:rsidRDefault="00FF5EA3" w:rsidP="00BB7C0E">
            <w:pPr>
              <w:jc w:val="both"/>
              <w:rPr>
                <w:lang w:eastAsia="lt-LT"/>
              </w:rPr>
            </w:pPr>
            <w:r w:rsidRPr="001157EC">
              <w:rPr>
                <w:lang w:eastAsia="lt-LT"/>
              </w:rPr>
              <w:t>Taip.</w:t>
            </w:r>
          </w:p>
          <w:p w:rsidR="00913551" w:rsidRPr="001157EC" w:rsidRDefault="00FF5EA3" w:rsidP="00BB7C0E">
            <w:pPr>
              <w:jc w:val="both"/>
              <w:rPr>
                <w:lang w:eastAsia="lt-LT"/>
              </w:rPr>
            </w:pPr>
            <w:r w:rsidRPr="001157EC">
              <w:rPr>
                <w:lang w:eastAsia="lt-LT"/>
              </w:rPr>
              <w:t>Komisijos veikloje negali dalyvauti VGI Saugos ir sąveikos skyriaus darbuotojai, kurie yra atsakingi už sertifikuojamos veiklos sąlygų laikymosi priežiūrą ir, prireikus, sankcijų taikymą.</w:t>
            </w:r>
          </w:p>
        </w:tc>
      </w:tr>
      <w:tr w:rsidR="000C0646" w:rsidTr="00206FB5">
        <w:tc>
          <w:tcPr>
            <w:tcW w:w="556" w:type="dxa"/>
            <w:vAlign w:val="center"/>
          </w:tcPr>
          <w:p w:rsidR="000C0646" w:rsidRDefault="00206FB5" w:rsidP="00206FB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7.</w:t>
            </w:r>
          </w:p>
        </w:tc>
        <w:tc>
          <w:tcPr>
            <w:tcW w:w="4797" w:type="dxa"/>
          </w:tcPr>
          <w:p w:rsidR="000C0646" w:rsidRDefault="00206FB5" w:rsidP="00BB7C0E">
            <w:pPr>
              <w:jc w:val="both"/>
              <w:rPr>
                <w:lang w:eastAsia="lt-LT"/>
              </w:rPr>
            </w:pPr>
            <w:r w:rsidRPr="00FC1A51">
              <w:rPr>
                <w:i/>
                <w:lang w:eastAsia="lt-LT"/>
              </w:rPr>
              <w:t>Ar valstybės ar savivaldybės įstaigoje reglamentuota sprendimų išduoti / neišduoti leidimus, licencijas ir kitus dokumentus priėmimo proceso vidaus kontrolės (prevencinės, einamosios, paskesniosios) procedūros?</w:t>
            </w:r>
          </w:p>
        </w:tc>
        <w:tc>
          <w:tcPr>
            <w:tcW w:w="4502" w:type="dxa"/>
          </w:tcPr>
          <w:p w:rsidR="000C0646" w:rsidRPr="00764D0E" w:rsidRDefault="002A2867" w:rsidP="003810FF">
            <w:pPr>
              <w:jc w:val="both"/>
              <w:rPr>
                <w:lang w:eastAsia="lt-LT"/>
              </w:rPr>
            </w:pPr>
            <w:r w:rsidRPr="00764D0E">
              <w:rPr>
                <w:lang w:eastAsia="lt-LT"/>
              </w:rPr>
              <w:t>Taip.</w:t>
            </w:r>
          </w:p>
          <w:p w:rsidR="0037507E" w:rsidRPr="0084219E" w:rsidRDefault="007E033D" w:rsidP="00BB7C0E">
            <w:pPr>
              <w:jc w:val="both"/>
              <w:rPr>
                <w:rFonts w:eastAsia="Calibri"/>
                <w:b/>
                <w:bCs/>
              </w:rPr>
            </w:pPr>
            <w:r w:rsidRPr="00764D0E">
              <w:rPr>
                <w:rFonts w:eastAsia="Calibri"/>
              </w:rPr>
              <w:t>VGI yra vykdomi administracinių paslaugų auditai (</w:t>
            </w:r>
            <w:r w:rsidR="0037507E" w:rsidRPr="0037507E">
              <w:rPr>
                <w:rFonts w:eastAsia="Calibri"/>
              </w:rPr>
              <w:t>auditų planas patvirtintas 2014-12-04 įsakymu Nr. V-195 (</w:t>
            </w:r>
            <w:r w:rsidRPr="00764D0E">
              <w:rPr>
                <w:rFonts w:eastAsia="Calibri"/>
              </w:rPr>
              <w:t>su vėlesniais pakeitimais)</w:t>
            </w:r>
            <w:r w:rsidR="0037507E" w:rsidRPr="0037507E">
              <w:rPr>
                <w:rFonts w:eastAsia="Calibri"/>
              </w:rPr>
              <w:t xml:space="preserve">. </w:t>
            </w:r>
            <w:r w:rsidR="00E249B0">
              <w:rPr>
                <w:rFonts w:eastAsia="Calibri"/>
              </w:rPr>
              <w:t>Vertinamos</w:t>
            </w:r>
            <w:r w:rsidR="0037507E" w:rsidRPr="0037507E">
              <w:rPr>
                <w:rFonts w:eastAsia="Calibri"/>
              </w:rPr>
              <w:t xml:space="preserve"> </w:t>
            </w:r>
            <w:r w:rsidR="003810FF" w:rsidRPr="00764D0E">
              <w:rPr>
                <w:rFonts w:eastAsia="Calibri"/>
              </w:rPr>
              <w:t>s</w:t>
            </w:r>
            <w:r w:rsidR="0037507E" w:rsidRPr="0037507E">
              <w:rPr>
                <w:rFonts w:eastAsia="Calibri"/>
                <w:bCs/>
              </w:rPr>
              <w:t xml:space="preserve">augos sertifikatų </w:t>
            </w:r>
            <w:r w:rsidR="003810FF" w:rsidRPr="00764D0E">
              <w:rPr>
                <w:rFonts w:eastAsia="Calibri"/>
                <w:bCs/>
              </w:rPr>
              <w:t>ir įgaliojimų eismo saugos srityje išdavimo</w:t>
            </w:r>
            <w:r w:rsidR="0037507E" w:rsidRPr="0037507E">
              <w:rPr>
                <w:rFonts w:eastAsia="Calibri"/>
                <w:bCs/>
              </w:rPr>
              <w:t>, pakei</w:t>
            </w:r>
            <w:r w:rsidR="003810FF" w:rsidRPr="00764D0E">
              <w:rPr>
                <w:rFonts w:eastAsia="Calibri"/>
                <w:bCs/>
              </w:rPr>
              <w:t>timo, atnaujinimo procedūros.</w:t>
            </w:r>
          </w:p>
        </w:tc>
      </w:tr>
      <w:tr w:rsidR="000C0646" w:rsidTr="00A00720">
        <w:tc>
          <w:tcPr>
            <w:tcW w:w="556" w:type="dxa"/>
            <w:vAlign w:val="center"/>
          </w:tcPr>
          <w:p w:rsidR="000C0646" w:rsidRDefault="00A00720" w:rsidP="00A0072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8.</w:t>
            </w:r>
          </w:p>
        </w:tc>
        <w:tc>
          <w:tcPr>
            <w:tcW w:w="4797" w:type="dxa"/>
          </w:tcPr>
          <w:p w:rsidR="000C0646" w:rsidRPr="00A42916" w:rsidRDefault="00A00720" w:rsidP="00BB7C0E">
            <w:pPr>
              <w:jc w:val="both"/>
              <w:rPr>
                <w:lang w:eastAsia="lt-LT"/>
              </w:rPr>
            </w:pPr>
            <w:r w:rsidRPr="00A42916">
              <w:rPr>
                <w:i/>
                <w:lang w:eastAsia="lt-LT"/>
              </w:rPr>
              <w:t>Ar valstybės ar savivaldybės įstaigoje, išduodant / neišduodant leidimus, licencijas lengvatas, nuolaidas, suteikiant / nesuteikiant kitokias papildomas teises, taikomas „vieno langelio“ principas?</w:t>
            </w:r>
          </w:p>
        </w:tc>
        <w:tc>
          <w:tcPr>
            <w:tcW w:w="4502" w:type="dxa"/>
          </w:tcPr>
          <w:p w:rsidR="000C0646" w:rsidRPr="00A42916" w:rsidRDefault="007E033D" w:rsidP="00BB7C0E">
            <w:pPr>
              <w:jc w:val="both"/>
              <w:rPr>
                <w:lang w:eastAsia="lt-LT"/>
              </w:rPr>
            </w:pPr>
            <w:r w:rsidRPr="00A42916">
              <w:rPr>
                <w:lang w:eastAsia="lt-LT"/>
              </w:rPr>
              <w:t>Taip.</w:t>
            </w:r>
          </w:p>
          <w:p w:rsidR="00A42916" w:rsidRPr="00A42916" w:rsidRDefault="00A42916" w:rsidP="00BB7C0E">
            <w:pPr>
              <w:jc w:val="both"/>
              <w:rPr>
                <w:lang w:eastAsia="lt-LT"/>
              </w:rPr>
            </w:pPr>
            <w:r w:rsidRPr="00A42916">
              <w:rPr>
                <w:lang w:eastAsia="lt-LT"/>
              </w:rPr>
              <w:t>VGI yra įdiegta Geležinkelių transporto valstybinės priežiūros informacinė sistema (toliau – VGI IS). Saugos sertifikatai ir įgaliojimai eismo saugos srityje yra išduodami, atnaujinami ar pakeičiami per VGI IS.</w:t>
            </w:r>
          </w:p>
          <w:p w:rsidR="007E033D" w:rsidRPr="00A42916" w:rsidRDefault="00A42916" w:rsidP="00345BE1">
            <w:pPr>
              <w:jc w:val="both"/>
              <w:rPr>
                <w:lang w:eastAsia="lt-LT"/>
              </w:rPr>
            </w:pPr>
            <w:r w:rsidRPr="00A42916">
              <w:rPr>
                <w:lang w:eastAsia="lt-LT"/>
              </w:rPr>
              <w:t>Neveikiant VGI IS, v</w:t>
            </w:r>
            <w:r w:rsidR="007E033D" w:rsidRPr="00A42916">
              <w:rPr>
                <w:lang w:eastAsia="lt-LT"/>
              </w:rPr>
              <w:t xml:space="preserve">isi VGI gauti dokumentai </w:t>
            </w:r>
            <w:r w:rsidR="00CE40B8" w:rsidRPr="00A42916">
              <w:rPr>
                <w:lang w:eastAsia="lt-LT"/>
              </w:rPr>
              <w:t xml:space="preserve">atsakingo asmens yra registruojami dokumentų valdymo sistemoje „Avilys“. </w:t>
            </w:r>
            <w:r w:rsidRPr="00A42916">
              <w:rPr>
                <w:lang w:eastAsia="lt-LT"/>
              </w:rPr>
              <w:t xml:space="preserve">Pagal Aprašą, VGI atsakingas asmuo, gavęs paraišką dėl saugos sertifikato ar įgaliojimų eismo saugos srityje išdavimo, pakeitimo, atnaujinimo, atlieka </w:t>
            </w:r>
            <w:r w:rsidR="00345BE1">
              <w:rPr>
                <w:lang w:eastAsia="lt-LT"/>
              </w:rPr>
              <w:t>pirminį</w:t>
            </w:r>
            <w:r w:rsidRPr="00A42916">
              <w:rPr>
                <w:lang w:eastAsia="lt-LT"/>
              </w:rPr>
              <w:t xml:space="preserve"> paraiškos vertinimą, nustatęs, kad paraiška atitinka teisės aktų reikalavimus, suformuoja Komisiją ir perduoda dokumentus Komisijos vertinimui.</w:t>
            </w:r>
          </w:p>
        </w:tc>
      </w:tr>
      <w:tr w:rsidR="000C0646" w:rsidTr="004516CB">
        <w:tc>
          <w:tcPr>
            <w:tcW w:w="556" w:type="dxa"/>
            <w:vAlign w:val="center"/>
          </w:tcPr>
          <w:p w:rsidR="000C0646" w:rsidRDefault="004516CB" w:rsidP="004516C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9.</w:t>
            </w:r>
          </w:p>
        </w:tc>
        <w:tc>
          <w:tcPr>
            <w:tcW w:w="4797" w:type="dxa"/>
          </w:tcPr>
          <w:p w:rsidR="000C0646" w:rsidRDefault="004516CB" w:rsidP="00BB7C0E">
            <w:pPr>
              <w:jc w:val="both"/>
              <w:rPr>
                <w:lang w:eastAsia="lt-LT"/>
              </w:rPr>
            </w:pPr>
            <w:r w:rsidRPr="00FC1A51">
              <w:rPr>
                <w:i/>
                <w:lang w:eastAsia="lt-LT"/>
              </w:rPr>
              <w:t>Ar valstybės ar savivaldybės įstaigoje, išduodant / neišduodant leidimus, licencijas lengvatas, nuolaidas, suteikiant / nesuteikiant kitokias papildomas teises, naudojamos informacinės technologijos (diegiama / įdiegta e. valdžios sistema).</w:t>
            </w:r>
          </w:p>
        </w:tc>
        <w:tc>
          <w:tcPr>
            <w:tcW w:w="4502" w:type="dxa"/>
          </w:tcPr>
          <w:p w:rsidR="00214851" w:rsidRPr="00214851" w:rsidRDefault="00214851" w:rsidP="004516CB">
            <w:pPr>
              <w:jc w:val="both"/>
              <w:rPr>
                <w:lang w:eastAsia="lt-LT"/>
              </w:rPr>
            </w:pPr>
            <w:r w:rsidRPr="00214851">
              <w:rPr>
                <w:lang w:eastAsia="lt-LT"/>
              </w:rPr>
              <w:t>Taip.</w:t>
            </w:r>
          </w:p>
          <w:p w:rsidR="000C0646" w:rsidRDefault="004516CB" w:rsidP="00BB7C0E">
            <w:pPr>
              <w:jc w:val="both"/>
              <w:rPr>
                <w:lang w:eastAsia="lt-LT"/>
              </w:rPr>
            </w:pPr>
            <w:r w:rsidRPr="00214851">
              <w:rPr>
                <w:lang w:eastAsia="lt-LT"/>
              </w:rPr>
              <w:t xml:space="preserve">VGI yra </w:t>
            </w:r>
            <w:r w:rsidR="009063DE" w:rsidRPr="00214851">
              <w:rPr>
                <w:lang w:eastAsia="lt-LT"/>
              </w:rPr>
              <w:t>įdiegta</w:t>
            </w:r>
            <w:r w:rsidRPr="00214851">
              <w:rPr>
                <w:lang w:eastAsia="lt-LT"/>
              </w:rPr>
              <w:t xml:space="preserve"> </w:t>
            </w:r>
            <w:r w:rsidR="00A42916">
              <w:rPr>
                <w:lang w:eastAsia="lt-LT"/>
              </w:rPr>
              <w:t>VGI IS</w:t>
            </w:r>
            <w:r w:rsidRPr="00214851">
              <w:rPr>
                <w:lang w:eastAsia="lt-LT"/>
              </w:rPr>
              <w:t xml:space="preserve">. </w:t>
            </w:r>
            <w:r w:rsidR="009063DE" w:rsidRPr="00214851">
              <w:rPr>
                <w:lang w:eastAsia="lt-LT"/>
              </w:rPr>
              <w:t xml:space="preserve">Saugos sertifikatai ir įgaliojimai eismo saugos srityje yra išduodami, atnaujinami ar pakeičiami per VGI IS. </w:t>
            </w:r>
            <w:r w:rsidRPr="00214851">
              <w:rPr>
                <w:lang w:eastAsia="lt-LT"/>
              </w:rPr>
              <w:t xml:space="preserve">Taisyklėse yra reglamentuota paraiškų </w:t>
            </w:r>
            <w:r w:rsidR="009063DE" w:rsidRPr="00214851">
              <w:rPr>
                <w:lang w:eastAsia="lt-LT"/>
              </w:rPr>
              <w:t xml:space="preserve">dėl </w:t>
            </w:r>
            <w:r w:rsidRPr="00214851">
              <w:rPr>
                <w:lang w:eastAsia="lt-LT"/>
              </w:rPr>
              <w:t>saugos sertifikatų</w:t>
            </w:r>
            <w:r w:rsidR="009063DE" w:rsidRPr="00214851">
              <w:rPr>
                <w:lang w:eastAsia="lt-LT"/>
              </w:rPr>
              <w:t xml:space="preserve"> ir įgaliojimų eismo saugos srityje išdavimo, pakeitimo ar atnaujinimo </w:t>
            </w:r>
            <w:r w:rsidRPr="00214851">
              <w:rPr>
                <w:lang w:eastAsia="lt-LT"/>
              </w:rPr>
              <w:t xml:space="preserve">pateikimo </w:t>
            </w:r>
            <w:r w:rsidR="009063DE" w:rsidRPr="00214851">
              <w:rPr>
                <w:lang w:eastAsia="lt-LT"/>
              </w:rPr>
              <w:t xml:space="preserve">per </w:t>
            </w:r>
            <w:r w:rsidRPr="00214851">
              <w:rPr>
                <w:lang w:eastAsia="lt-LT"/>
              </w:rPr>
              <w:t>VGI IS tvarka, Apraše – Komisijos darbo organizavimo</w:t>
            </w:r>
            <w:r w:rsidR="009063DE" w:rsidRPr="00214851">
              <w:rPr>
                <w:lang w:eastAsia="lt-LT"/>
              </w:rPr>
              <w:t xml:space="preserve"> per VGI IS</w:t>
            </w:r>
            <w:r w:rsidRPr="00214851">
              <w:rPr>
                <w:lang w:eastAsia="lt-LT"/>
              </w:rPr>
              <w:t xml:space="preserve"> tvarka. </w:t>
            </w:r>
            <w:r w:rsidR="004B3820">
              <w:rPr>
                <w:lang w:eastAsia="lt-LT"/>
              </w:rPr>
              <w:t>K</w:t>
            </w:r>
            <w:r w:rsidRPr="00214851">
              <w:rPr>
                <w:lang w:eastAsia="lt-LT"/>
              </w:rPr>
              <w:t xml:space="preserve">omisijos darbas įprastai organizuojamas </w:t>
            </w:r>
            <w:r w:rsidR="009063DE" w:rsidRPr="00214851">
              <w:rPr>
                <w:lang w:eastAsia="lt-LT"/>
              </w:rPr>
              <w:t xml:space="preserve">per </w:t>
            </w:r>
            <w:r w:rsidRPr="00214851">
              <w:rPr>
                <w:lang w:eastAsia="lt-LT"/>
              </w:rPr>
              <w:t xml:space="preserve">VGI IS, o tik neveikiant </w:t>
            </w:r>
            <w:r w:rsidR="009063DE" w:rsidRPr="00214851">
              <w:rPr>
                <w:lang w:eastAsia="lt-LT"/>
              </w:rPr>
              <w:lastRenderedPageBreak/>
              <w:t xml:space="preserve">VGI IS - </w:t>
            </w:r>
            <w:r w:rsidRPr="00214851">
              <w:rPr>
                <w:lang w:eastAsia="lt-LT"/>
              </w:rPr>
              <w:t>posėdžių forma.</w:t>
            </w:r>
          </w:p>
        </w:tc>
      </w:tr>
      <w:tr w:rsidR="00C93110" w:rsidTr="00C93110">
        <w:tc>
          <w:tcPr>
            <w:tcW w:w="556" w:type="dxa"/>
            <w:vMerge w:val="restart"/>
            <w:vAlign w:val="center"/>
          </w:tcPr>
          <w:p w:rsidR="00C93110" w:rsidRDefault="00C93110" w:rsidP="00C9311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lastRenderedPageBreak/>
              <w:t>10.</w:t>
            </w:r>
          </w:p>
        </w:tc>
        <w:tc>
          <w:tcPr>
            <w:tcW w:w="4797" w:type="dxa"/>
          </w:tcPr>
          <w:p w:rsidR="00C93110" w:rsidRDefault="00C93110" w:rsidP="00BB7C0E">
            <w:pPr>
              <w:jc w:val="both"/>
              <w:rPr>
                <w:lang w:eastAsia="lt-LT"/>
              </w:rPr>
            </w:pPr>
            <w:r w:rsidRPr="00FC1A51">
              <w:rPr>
                <w:i/>
                <w:lang w:eastAsia="lt-LT"/>
              </w:rPr>
              <w:t>Ar valstybės ar savivaldybės įstaigos teisės aktuose numatyta subjektų, išduodančių leidimus, licencijas ir kitus dokumentus, veiklos ir priimtų sprendimų apskundimo tvarka?</w:t>
            </w:r>
          </w:p>
        </w:tc>
        <w:tc>
          <w:tcPr>
            <w:tcW w:w="4502" w:type="dxa"/>
          </w:tcPr>
          <w:p w:rsidR="00FA01FD" w:rsidRDefault="00FA01FD" w:rsidP="00BB7C0E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Taip.</w:t>
            </w:r>
          </w:p>
          <w:p w:rsidR="00913551" w:rsidRDefault="00913A9E" w:rsidP="00913A9E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Sprendimai</w:t>
            </w:r>
            <w:r w:rsidR="00FA01FD" w:rsidRPr="00FC1A51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 xml:space="preserve">dėl saugos sertifikatų ir įgaliojimų eismo saugos srityje išdavimo, pakeitimo ar atnaujinimo gali būti skundžiami Taisyklių </w:t>
            </w:r>
            <w:r w:rsidR="00FA01FD" w:rsidRPr="00FC1A51">
              <w:rPr>
                <w:lang w:eastAsia="lt-LT"/>
              </w:rPr>
              <w:t>24.1 ir 59.1 papunkčiuose</w:t>
            </w:r>
            <w:r>
              <w:rPr>
                <w:lang w:eastAsia="lt-LT"/>
              </w:rPr>
              <w:t xml:space="preserve"> nustatyta tvarka</w:t>
            </w:r>
            <w:r w:rsidR="00FA01FD" w:rsidRPr="00FC1A51">
              <w:rPr>
                <w:lang w:eastAsia="lt-LT"/>
              </w:rPr>
              <w:t>.</w:t>
            </w:r>
            <w:r w:rsidR="008621D5">
              <w:rPr>
                <w:lang w:eastAsia="lt-LT"/>
              </w:rPr>
              <w:t xml:space="preserve"> Be to, pagal Lietuvos Respublikos viešojo administravimo įstatymą</w:t>
            </w:r>
            <w:r w:rsidR="00953ACB">
              <w:rPr>
                <w:rStyle w:val="FootnoteReference"/>
                <w:lang w:eastAsia="lt-LT"/>
              </w:rPr>
              <w:footnoteReference w:id="6"/>
            </w:r>
            <w:r w:rsidR="008621D5">
              <w:rPr>
                <w:lang w:eastAsia="lt-LT"/>
              </w:rPr>
              <w:t xml:space="preserve"> visuose VGI sprendimuose dėl saugos sertifikatų ir įgaliojimų eismo saugos srityje išdavimo, pakeitimo ar atnaujinimo yra nurodoma sprendimo apskundimo tvarka.</w:t>
            </w:r>
          </w:p>
        </w:tc>
      </w:tr>
      <w:tr w:rsidR="00C93110" w:rsidTr="003A0D01">
        <w:tc>
          <w:tcPr>
            <w:tcW w:w="556" w:type="dxa"/>
            <w:vMerge/>
          </w:tcPr>
          <w:p w:rsidR="00C93110" w:rsidRDefault="00C93110" w:rsidP="00BB7C0E">
            <w:pPr>
              <w:jc w:val="both"/>
              <w:rPr>
                <w:lang w:eastAsia="lt-LT"/>
              </w:rPr>
            </w:pPr>
          </w:p>
        </w:tc>
        <w:tc>
          <w:tcPr>
            <w:tcW w:w="4797" w:type="dxa"/>
          </w:tcPr>
          <w:p w:rsidR="00C93110" w:rsidRPr="00FC1A51" w:rsidRDefault="00C93110" w:rsidP="00FA01FD">
            <w:pPr>
              <w:jc w:val="both"/>
              <w:rPr>
                <w:i/>
                <w:lang w:eastAsia="lt-LT"/>
              </w:rPr>
            </w:pPr>
            <w:r w:rsidRPr="00FC1A51">
              <w:rPr>
                <w:i/>
                <w:lang w:eastAsia="lt-LT"/>
              </w:rPr>
              <w:t xml:space="preserve">Ar buvo gauta asmenų skundų, pranešimų, kitokio pobūdžio informacijos dėl leidimus, licencijas ir kitus dokumentus išduodančių arba suteikiančių subjektų veiklos / priimtų sprendimų teisėtumo, pagrįstumo? Ar buvo atliekamas tokios informacijos tyrimas? </w:t>
            </w:r>
          </w:p>
          <w:p w:rsidR="00C93110" w:rsidRDefault="00C93110" w:rsidP="00BB7C0E">
            <w:pPr>
              <w:jc w:val="both"/>
              <w:rPr>
                <w:lang w:eastAsia="lt-LT"/>
              </w:rPr>
            </w:pPr>
          </w:p>
        </w:tc>
        <w:tc>
          <w:tcPr>
            <w:tcW w:w="4502" w:type="dxa"/>
          </w:tcPr>
          <w:p w:rsidR="00C93110" w:rsidRPr="00FC1A51" w:rsidRDefault="00913551" w:rsidP="00B90816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Ne.</w:t>
            </w:r>
          </w:p>
          <w:p w:rsidR="00C93110" w:rsidRDefault="00C93110" w:rsidP="00BB7C0E">
            <w:pPr>
              <w:jc w:val="both"/>
              <w:rPr>
                <w:lang w:eastAsia="lt-LT"/>
              </w:rPr>
            </w:pPr>
          </w:p>
        </w:tc>
      </w:tr>
      <w:tr w:rsidR="004516CB" w:rsidTr="00C93110">
        <w:tc>
          <w:tcPr>
            <w:tcW w:w="556" w:type="dxa"/>
            <w:vAlign w:val="center"/>
          </w:tcPr>
          <w:p w:rsidR="004516CB" w:rsidRDefault="00C93110" w:rsidP="00C9311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11.</w:t>
            </w:r>
          </w:p>
        </w:tc>
        <w:tc>
          <w:tcPr>
            <w:tcW w:w="4797" w:type="dxa"/>
          </w:tcPr>
          <w:p w:rsidR="004516CB" w:rsidRPr="00C93110" w:rsidRDefault="00C93110" w:rsidP="00BB7C0E">
            <w:pPr>
              <w:jc w:val="both"/>
              <w:rPr>
                <w:i/>
                <w:lang w:eastAsia="lt-LT"/>
              </w:rPr>
            </w:pPr>
            <w:r w:rsidRPr="00C93110">
              <w:rPr>
                <w:i/>
                <w:lang w:eastAsia="lt-LT"/>
              </w:rPr>
              <w:t>Ar valstybės ar savivaldybės teisės aktai periodiškai peržiūrimi? Ar vykdomas nustatytų teisinio reglamentavimo spragų ar kolizijų taisymas?</w:t>
            </w:r>
          </w:p>
        </w:tc>
        <w:tc>
          <w:tcPr>
            <w:tcW w:w="4502" w:type="dxa"/>
          </w:tcPr>
          <w:p w:rsidR="00ED1384" w:rsidRDefault="008F00BF" w:rsidP="00C93110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Taip.</w:t>
            </w:r>
          </w:p>
          <w:p w:rsidR="004516CB" w:rsidRDefault="00877DA2" w:rsidP="00BB7C0E">
            <w:pPr>
              <w:jc w:val="both"/>
              <w:rPr>
                <w:lang w:eastAsia="lt-LT"/>
              </w:rPr>
            </w:pPr>
            <w:r w:rsidRPr="00F525F4">
              <w:rPr>
                <w:lang w:eastAsia="lt-LT"/>
              </w:rPr>
              <w:t xml:space="preserve">Pagal VGI viršininko </w:t>
            </w:r>
            <w:r w:rsidRPr="00F525F4">
              <w:t xml:space="preserve">2013 m.  rugpjūčio 21 d. įsakymu Nr. V-526 patvirtintų </w:t>
            </w:r>
            <w:r w:rsidRPr="00F525F4">
              <w:rPr>
                <w:lang w:eastAsia="lt-LT"/>
              </w:rPr>
              <w:t xml:space="preserve">VGI Teisės skyriaus nuostatų 4.13 </w:t>
            </w:r>
            <w:r>
              <w:rPr>
                <w:lang w:eastAsia="lt-LT"/>
              </w:rPr>
              <w:t>papunktį</w:t>
            </w:r>
            <w:r w:rsidR="00CB2CE9">
              <w:rPr>
                <w:lang w:eastAsia="lt-LT"/>
              </w:rPr>
              <w:t xml:space="preserve"> VGI Teisės skyrius, </w:t>
            </w:r>
            <w:r w:rsidRPr="0006659C">
              <w:rPr>
                <w:lang w:eastAsia="lt-LT"/>
              </w:rPr>
              <w:t xml:space="preserve">įgyvendindamas </w:t>
            </w:r>
            <w:r w:rsidRPr="0006659C">
              <w:rPr>
                <w:lang w:val="en-US" w:eastAsia="lt-LT"/>
              </w:rPr>
              <w:t xml:space="preserve">jam </w:t>
            </w:r>
            <w:proofErr w:type="spellStart"/>
            <w:r w:rsidRPr="0006659C">
              <w:rPr>
                <w:lang w:val="en-US" w:eastAsia="lt-LT"/>
              </w:rPr>
              <w:t>pavestus</w:t>
            </w:r>
            <w:proofErr w:type="spellEnd"/>
            <w:r w:rsidRPr="0006659C">
              <w:rPr>
                <w:lang w:eastAsia="lt-LT"/>
              </w:rPr>
              <w:t xml:space="preserve"> uždavinius, vykdo periodinę VGI veiklą reglamentuojančių ir VGI priimtų teisės aktų peržiūrą.</w:t>
            </w:r>
            <w:r w:rsidRPr="00FC1A51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 xml:space="preserve">Be to, </w:t>
            </w:r>
            <w:r w:rsidR="007E033D">
              <w:rPr>
                <w:lang w:eastAsia="lt-LT"/>
              </w:rPr>
              <w:t>Aprašo 63</w:t>
            </w:r>
            <w:r w:rsidRPr="00FC1A51">
              <w:rPr>
                <w:lang w:eastAsia="lt-LT"/>
              </w:rPr>
              <w:t xml:space="preserve"> punkte numatyta paraiškų saugos sertifikatui gauti vertinimo proceso peržiūrėjimo ir tobulinimo tvarka.</w:t>
            </w:r>
          </w:p>
        </w:tc>
      </w:tr>
    </w:tbl>
    <w:p w:rsidR="00BB7C0E" w:rsidRDefault="00BB7C0E" w:rsidP="00BB7C0E">
      <w:pPr>
        <w:jc w:val="both"/>
        <w:rPr>
          <w:lang w:eastAsia="lt-LT"/>
        </w:rPr>
      </w:pPr>
    </w:p>
    <w:p w:rsidR="007208CF" w:rsidRPr="0018670B" w:rsidRDefault="007208CF" w:rsidP="0018670B">
      <w:pPr>
        <w:ind w:firstLine="720"/>
        <w:jc w:val="both"/>
        <w:rPr>
          <w:rFonts w:eastAsia="SimSun"/>
          <w:lang w:eastAsia="en-GB"/>
        </w:rPr>
      </w:pPr>
      <w:r w:rsidRPr="0018670B">
        <w:t>Papildomai pažymėtina, kad šiuo metu y</w:t>
      </w:r>
      <w:r w:rsidR="0018670B">
        <w:t>ra rengiami</w:t>
      </w:r>
      <w:r w:rsidRPr="0018670B">
        <w:t xml:space="preserve"> </w:t>
      </w:r>
      <w:r w:rsidR="00EB5D56" w:rsidRPr="0018670B">
        <w:t>saugos sertifi</w:t>
      </w:r>
      <w:r w:rsidR="00F54274" w:rsidRPr="0018670B">
        <w:t xml:space="preserve">katų ir įgaliojimų eismo saugos </w:t>
      </w:r>
      <w:r w:rsidR="00EB5D56" w:rsidRPr="0018670B">
        <w:t xml:space="preserve">srityje </w:t>
      </w:r>
      <w:r w:rsidR="00F54274" w:rsidRPr="0018670B">
        <w:rPr>
          <w:rFonts w:eastAsia="SimSun"/>
          <w:lang w:eastAsia="en-GB"/>
        </w:rPr>
        <w:t>išdavimo</w:t>
      </w:r>
      <w:r w:rsidR="0018670B">
        <w:rPr>
          <w:rFonts w:eastAsia="SimSun"/>
          <w:lang w:eastAsia="en-GB"/>
        </w:rPr>
        <w:t xml:space="preserve">, atnaujinimo, pakeitimo gidai, kurie bus skelbiami viešai. Minėtuose giduose bus detaliai </w:t>
      </w:r>
      <w:r w:rsidR="003974D0">
        <w:rPr>
          <w:rFonts w:eastAsia="SimSun"/>
          <w:lang w:eastAsia="en-GB"/>
        </w:rPr>
        <w:t>paaiškinti</w:t>
      </w:r>
      <w:r w:rsidR="0018670B">
        <w:rPr>
          <w:rFonts w:eastAsia="SimSun"/>
          <w:lang w:eastAsia="en-GB"/>
        </w:rPr>
        <w:t xml:space="preserve"> saugos sertifikatų ir įgaliojimų eismo saugos srityje išdavimo, pakeitimo, atnaujinimo proces</w:t>
      </w:r>
      <w:r w:rsidR="003974D0">
        <w:rPr>
          <w:rFonts w:eastAsia="SimSun"/>
          <w:lang w:eastAsia="en-GB"/>
        </w:rPr>
        <w:t>ai</w:t>
      </w:r>
      <w:r w:rsidR="0018670B">
        <w:rPr>
          <w:rFonts w:eastAsia="SimSun"/>
          <w:lang w:eastAsia="en-GB"/>
        </w:rPr>
        <w:t>, todėl</w:t>
      </w:r>
      <w:r w:rsidR="003974D0">
        <w:rPr>
          <w:rFonts w:eastAsia="SimSun"/>
          <w:lang w:eastAsia="en-GB"/>
        </w:rPr>
        <w:t xml:space="preserve"> ir</w:t>
      </w:r>
      <w:r w:rsidR="0018670B">
        <w:rPr>
          <w:rFonts w:eastAsia="SimSun"/>
          <w:lang w:eastAsia="en-GB"/>
        </w:rPr>
        <w:t xml:space="preserve"> pareiškėjai galės aiškiai suprasti visu</w:t>
      </w:r>
      <w:r w:rsidR="003974D0">
        <w:rPr>
          <w:rFonts w:eastAsia="SimSun"/>
          <w:lang w:eastAsia="en-GB"/>
        </w:rPr>
        <w:t>s</w:t>
      </w:r>
      <w:r w:rsidR="0018670B">
        <w:rPr>
          <w:rFonts w:eastAsia="SimSun"/>
          <w:lang w:eastAsia="en-GB"/>
        </w:rPr>
        <w:t xml:space="preserve"> VGI darbuotojų veiksmus, susijusius su saugos sertifikatų ir įgaliojimų eismo saugos srityje išdavimu, pakeitimu bei atnaujinimo.</w:t>
      </w:r>
    </w:p>
    <w:p w:rsidR="007208CF" w:rsidRDefault="007208CF" w:rsidP="00177E89">
      <w:pPr>
        <w:ind w:firstLine="720"/>
        <w:jc w:val="both"/>
      </w:pPr>
    </w:p>
    <w:p w:rsidR="007208CF" w:rsidRDefault="00177E89" w:rsidP="00177E89">
      <w:pPr>
        <w:ind w:firstLine="720"/>
        <w:jc w:val="both"/>
      </w:pPr>
      <w:r>
        <w:t xml:space="preserve">Atsižvelgiant </w:t>
      </w:r>
      <w:r w:rsidR="007208CF">
        <w:t xml:space="preserve">į tai, kas išdėstyta, darytina išvada, kad </w:t>
      </w:r>
      <w:r w:rsidR="00EB5D56">
        <w:t>sąlygų korupcijos pasireiškimui, atliekant paraiškų dėl saugos sertifikatų ir įgaliojimų eismo saugos</w:t>
      </w:r>
      <w:r w:rsidR="00DC3E72">
        <w:t xml:space="preserve"> srityje</w:t>
      </w:r>
      <w:r w:rsidR="00EB5D56">
        <w:t xml:space="preserve"> išdavimo, pakeitimo, atnaujinimo </w:t>
      </w:r>
      <w:r w:rsidR="00A3266A">
        <w:t>vertinimus</w:t>
      </w:r>
      <w:r w:rsidR="00EB5D56">
        <w:t>, nėra.</w:t>
      </w:r>
    </w:p>
    <w:p w:rsidR="00120F2E" w:rsidRDefault="00120F2E" w:rsidP="00120F2E">
      <w:pPr>
        <w:tabs>
          <w:tab w:val="left" w:pos="1080"/>
        </w:tabs>
        <w:jc w:val="both"/>
      </w:pPr>
    </w:p>
    <w:p w:rsidR="00120F2E" w:rsidRDefault="00120F2E" w:rsidP="00120F2E">
      <w:pPr>
        <w:tabs>
          <w:tab w:val="left" w:pos="1080"/>
        </w:tabs>
        <w:jc w:val="both"/>
      </w:pPr>
    </w:p>
    <w:p w:rsidR="00120F2E" w:rsidRPr="00BB7C0E" w:rsidRDefault="00120F2E" w:rsidP="00120F2E">
      <w:pPr>
        <w:tabs>
          <w:tab w:val="left" w:pos="1080"/>
        </w:tabs>
        <w:jc w:val="both"/>
      </w:pPr>
      <w:r>
        <w:t>Teisės skyriaus vedėja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Goda </w:t>
      </w:r>
      <w:proofErr w:type="spellStart"/>
      <w:r>
        <w:t>Bražytė-Balčiūnė</w:t>
      </w:r>
      <w:proofErr w:type="spellEnd"/>
    </w:p>
    <w:p w:rsidR="002D4B82" w:rsidRPr="0037493D" w:rsidRDefault="002D4B82" w:rsidP="00420704">
      <w:pPr>
        <w:jc w:val="both"/>
      </w:pPr>
    </w:p>
    <w:p w:rsidR="0084219E" w:rsidRDefault="0084219E" w:rsidP="00420704">
      <w:pPr>
        <w:jc w:val="both"/>
      </w:pPr>
    </w:p>
    <w:p w:rsidR="0084219E" w:rsidRDefault="0084219E" w:rsidP="00420704">
      <w:pPr>
        <w:jc w:val="both"/>
      </w:pPr>
    </w:p>
    <w:p w:rsidR="0084219E" w:rsidRDefault="0084219E" w:rsidP="00420704">
      <w:pPr>
        <w:jc w:val="both"/>
      </w:pPr>
    </w:p>
    <w:p w:rsidR="0084219E" w:rsidRPr="0037493D" w:rsidRDefault="0084219E" w:rsidP="0084219E">
      <w:pPr>
        <w:pStyle w:val="Footer"/>
      </w:pPr>
    </w:p>
    <w:sectPr w:rsidR="0084219E" w:rsidRPr="0037493D" w:rsidSect="00250779">
      <w:headerReference w:type="first" r:id="rId8"/>
      <w:pgSz w:w="11907" w:h="16840" w:code="9"/>
      <w:pgMar w:top="1134" w:right="567" w:bottom="1134" w:left="1701" w:header="113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D22" w:rsidRDefault="00706D22">
      <w:r>
        <w:separator/>
      </w:r>
    </w:p>
  </w:endnote>
  <w:endnote w:type="continuationSeparator" w:id="0">
    <w:p w:rsidR="00706D22" w:rsidRDefault="00706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D22" w:rsidRDefault="00706D22">
      <w:r>
        <w:separator/>
      </w:r>
    </w:p>
  </w:footnote>
  <w:footnote w:type="continuationSeparator" w:id="0">
    <w:p w:rsidR="00706D22" w:rsidRDefault="00706D22">
      <w:r>
        <w:continuationSeparator/>
      </w:r>
    </w:p>
  </w:footnote>
  <w:footnote w:id="1">
    <w:p w:rsidR="00870BD0" w:rsidRDefault="00870BD0" w:rsidP="00870BD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Lietuvos Respublikos susisiekimo ministerijos 2015 m. liepos 10 d. raštas Nr. 2-2644(20) „Dėl korupcijos pasireiškimo tikimybės nustatymo“.</w:t>
      </w:r>
    </w:p>
  </w:footnote>
  <w:footnote w:id="2">
    <w:p w:rsidR="00F512DF" w:rsidRDefault="00F512DF" w:rsidP="00F512D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Lietuvos Respublikos geležinkelių transporto kodekso 11 straipsnio 1dalis, 28 straipsnio 1 ir 3 dalys.</w:t>
      </w:r>
    </w:p>
  </w:footnote>
  <w:footnote w:id="3">
    <w:p w:rsidR="00F512DF" w:rsidRDefault="00F512DF" w:rsidP="00F512D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Lietuvos Respublikos geležinkelių transporto kodekso 11 straipsnio 1 dalis.</w:t>
      </w:r>
    </w:p>
  </w:footnote>
  <w:footnote w:id="4">
    <w:p w:rsidR="00275AFD" w:rsidRDefault="00275AFD" w:rsidP="00B94DD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Lietuvos Respublikos korupcijos prevencijos įstatymo 6 straipsnio 3 dalies 4 punktas.</w:t>
      </w:r>
    </w:p>
  </w:footnote>
  <w:footnote w:id="5">
    <w:p w:rsidR="00E06104" w:rsidRDefault="00E06104" w:rsidP="00137FD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FC1A51">
        <w:rPr>
          <w:lang w:eastAsia="lt-LT"/>
        </w:rPr>
        <w:t>Valstybės ar savivaldybės įstaigų veiklos sričių, kuriose egzistuoja didelė korupcijos pasireiškimo tiki</w:t>
      </w:r>
      <w:r>
        <w:rPr>
          <w:lang w:eastAsia="lt-LT"/>
        </w:rPr>
        <w:t xml:space="preserve">mybė, nustatymo rekomendacijų, patvirtintų </w:t>
      </w:r>
      <w:r w:rsidRPr="00FC1A51">
        <w:rPr>
          <w:lang w:eastAsia="lt-LT"/>
        </w:rPr>
        <w:t>Lietuvos Respublikos specialiųjų tyrimų tarnybos direktoriaus 2011 m. gegužės 13 d. įsakymu Nr. 2-170</w:t>
      </w:r>
      <w:r>
        <w:rPr>
          <w:lang w:eastAsia="lt-LT"/>
        </w:rPr>
        <w:t xml:space="preserve"> „Dėl </w:t>
      </w:r>
      <w:r w:rsidRPr="00FC1A51">
        <w:rPr>
          <w:lang w:eastAsia="lt-LT"/>
        </w:rPr>
        <w:t>Valstybės ar savivaldybės įstaigų veiklos sričių, kuriose egzistuoja didelė korupcijos pasireiškimo tiki</w:t>
      </w:r>
      <w:r>
        <w:rPr>
          <w:lang w:eastAsia="lt-LT"/>
        </w:rPr>
        <w:t xml:space="preserve">mybė, nustatymo rekomendacijų patvirtinimo“ </w:t>
      </w:r>
      <w:r w:rsidR="00CE0323">
        <w:rPr>
          <w:lang w:eastAsia="lt-LT"/>
        </w:rPr>
        <w:t>priedo IV skyrius.</w:t>
      </w:r>
    </w:p>
  </w:footnote>
  <w:footnote w:id="6">
    <w:p w:rsidR="00953ACB" w:rsidRDefault="00953ACB">
      <w:pPr>
        <w:pStyle w:val="FootnoteText"/>
      </w:pPr>
      <w:r>
        <w:rPr>
          <w:rStyle w:val="FootnoteReference"/>
        </w:rPr>
        <w:footnoteRef/>
      </w:r>
      <w:r>
        <w:t xml:space="preserve"> Lietuvos Respublikos viešojo administravimo įstatymo 8 straipsnio 2 dalis.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F15" w:rsidRDefault="003E3F15" w:rsidP="006106D2">
    <w:pPr>
      <w:jc w:val="center"/>
    </w:pPr>
  </w:p>
  <w:p w:rsidR="00AF60F5" w:rsidRPr="00AE59A1" w:rsidRDefault="00274ACC" w:rsidP="006106D2">
    <w:pPr>
      <w:jc w:val="center"/>
      <w:rPr>
        <w:caps/>
        <w:sz w:val="20"/>
        <w:szCs w:val="20"/>
      </w:rPr>
    </w:pPr>
    <w:r>
      <w:rPr>
        <w:noProof/>
        <w:lang w:eastAsia="lt-LT"/>
      </w:rPr>
      <w:drawing>
        <wp:inline distT="0" distB="0" distL="0" distR="0" wp14:anchorId="746ECB1A" wp14:editId="59729297">
          <wp:extent cx="552450" cy="5619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F5" w:rsidRPr="00E8736C" w:rsidRDefault="00AF60F5" w:rsidP="002075B1">
    <w:pPr>
      <w:pStyle w:val="Header"/>
      <w:jc w:val="center"/>
      <w:rPr>
        <w:b/>
        <w:bCs/>
        <w:caps/>
        <w:lang w:val="da-DK"/>
      </w:rPr>
    </w:pPr>
    <w:r w:rsidRPr="00E8736C">
      <w:rPr>
        <w:b/>
        <w:bCs/>
        <w:caps/>
        <w:lang w:val="da-DK"/>
      </w:rPr>
      <w:t>Valstybinė geležinkelio inspekcija</w:t>
    </w:r>
  </w:p>
  <w:p w:rsidR="00AF60F5" w:rsidRDefault="00AF60F5" w:rsidP="002075B1">
    <w:pPr>
      <w:pStyle w:val="Header"/>
      <w:jc w:val="center"/>
      <w:rPr>
        <w:b/>
        <w:bCs/>
        <w:caps/>
        <w:lang w:val="da-DK"/>
      </w:rPr>
    </w:pPr>
    <w:r w:rsidRPr="00E8736C">
      <w:rPr>
        <w:b/>
        <w:bCs/>
        <w:caps/>
        <w:lang w:val="da-DK"/>
      </w:rPr>
      <w:t>Prie Susisiekimo ministerijos</w:t>
    </w:r>
  </w:p>
  <w:p w:rsidR="00AF60F5" w:rsidRPr="00E8736C" w:rsidRDefault="00AF60F5" w:rsidP="002075B1">
    <w:pPr>
      <w:pStyle w:val="Header"/>
      <w:jc w:val="center"/>
      <w:rPr>
        <w:b/>
        <w:bCs/>
        <w:caps/>
        <w:lang w:val="da-DK"/>
      </w:rPr>
    </w:pPr>
  </w:p>
  <w:p w:rsidR="00AF60F5" w:rsidRDefault="00E63E5B" w:rsidP="002075B1">
    <w:pPr>
      <w:pStyle w:val="Header"/>
      <w:jc w:val="center"/>
      <w:rPr>
        <w:sz w:val="20"/>
        <w:szCs w:val="20"/>
        <w:lang w:val="da-DK"/>
      </w:rPr>
    </w:pPr>
    <w:r>
      <w:rPr>
        <w:sz w:val="20"/>
        <w:szCs w:val="20"/>
        <w:lang w:val="da-DK"/>
      </w:rPr>
      <w:t>B</w:t>
    </w:r>
    <w:r w:rsidR="00AF60F5">
      <w:rPr>
        <w:sz w:val="20"/>
        <w:szCs w:val="20"/>
        <w:lang w:val="da-DK"/>
      </w:rPr>
      <w:t>iudžetinė įstaiga, Pamėnkalnio g. 26</w:t>
    </w:r>
    <w:r w:rsidR="00AF60F5" w:rsidRPr="00AE59A1">
      <w:rPr>
        <w:sz w:val="20"/>
        <w:szCs w:val="20"/>
        <w:lang w:val="da-DK"/>
      </w:rPr>
      <w:t>, LT-0</w:t>
    </w:r>
    <w:r w:rsidR="00AF60F5">
      <w:rPr>
        <w:sz w:val="20"/>
        <w:szCs w:val="20"/>
        <w:lang w:val="da-DK"/>
      </w:rPr>
      <w:t>1114 Vilnius, tel. (8 5)</w:t>
    </w:r>
    <w:r>
      <w:rPr>
        <w:sz w:val="20"/>
        <w:szCs w:val="20"/>
        <w:lang w:val="da-DK"/>
      </w:rPr>
      <w:t xml:space="preserve"> </w:t>
    </w:r>
    <w:r w:rsidR="00AF60F5">
      <w:rPr>
        <w:sz w:val="20"/>
        <w:szCs w:val="20"/>
        <w:lang w:val="da-DK"/>
      </w:rPr>
      <w:t xml:space="preserve"> 243 0362,</w:t>
    </w:r>
    <w:r w:rsidR="00AF60F5" w:rsidRPr="00AE59A1">
      <w:rPr>
        <w:sz w:val="20"/>
        <w:szCs w:val="20"/>
        <w:lang w:val="da-DK"/>
      </w:rPr>
      <w:t xml:space="preserve"> </w:t>
    </w:r>
  </w:p>
  <w:p w:rsidR="00AF60F5" w:rsidRDefault="00AF60F5" w:rsidP="002075B1">
    <w:pPr>
      <w:pStyle w:val="Header"/>
      <w:jc w:val="center"/>
      <w:rPr>
        <w:sz w:val="20"/>
        <w:szCs w:val="20"/>
        <w:lang w:val="da-DK"/>
      </w:rPr>
    </w:pPr>
    <w:r>
      <w:rPr>
        <w:sz w:val="20"/>
        <w:szCs w:val="20"/>
        <w:lang w:val="da-DK"/>
      </w:rPr>
      <w:t>f</w:t>
    </w:r>
    <w:r w:rsidRPr="00AE59A1">
      <w:rPr>
        <w:sz w:val="20"/>
        <w:szCs w:val="20"/>
        <w:lang w:val="da-DK"/>
      </w:rPr>
      <w:t>a</w:t>
    </w:r>
    <w:r>
      <w:rPr>
        <w:sz w:val="20"/>
        <w:szCs w:val="20"/>
        <w:lang w:val="da-DK"/>
      </w:rPr>
      <w:t xml:space="preserve">ks. (8 5) </w:t>
    </w:r>
    <w:r w:rsidR="00E63E5B">
      <w:rPr>
        <w:sz w:val="20"/>
        <w:szCs w:val="20"/>
        <w:lang w:val="da-DK"/>
      </w:rPr>
      <w:t xml:space="preserve"> </w:t>
    </w:r>
    <w:r>
      <w:rPr>
        <w:sz w:val="20"/>
        <w:szCs w:val="20"/>
        <w:lang w:val="da-DK"/>
      </w:rPr>
      <w:t>243 0361, e</w:t>
    </w:r>
    <w:r w:rsidRPr="00AE59A1">
      <w:rPr>
        <w:sz w:val="20"/>
        <w:szCs w:val="20"/>
        <w:lang w:val="da-DK"/>
      </w:rPr>
      <w:t>l.</w:t>
    </w:r>
    <w:r>
      <w:rPr>
        <w:sz w:val="20"/>
        <w:szCs w:val="20"/>
        <w:lang w:val="da-DK"/>
      </w:rPr>
      <w:t xml:space="preserve"> </w:t>
    </w:r>
    <w:r w:rsidRPr="00AE59A1">
      <w:rPr>
        <w:sz w:val="20"/>
        <w:szCs w:val="20"/>
        <w:lang w:val="da-DK"/>
      </w:rPr>
      <w:t xml:space="preserve">p. </w:t>
    </w:r>
    <w:hyperlink r:id="rId2" w:history="1">
      <w:r w:rsidRPr="00F62DEA">
        <w:rPr>
          <w:rStyle w:val="Hyperlink"/>
          <w:color w:val="auto"/>
          <w:sz w:val="20"/>
          <w:szCs w:val="20"/>
          <w:u w:val="none"/>
          <w:lang w:val="da-DK"/>
        </w:rPr>
        <w:t>vgi@vgi.lt</w:t>
      </w:r>
    </w:hyperlink>
    <w:r w:rsidRPr="00AE59A1">
      <w:rPr>
        <w:sz w:val="20"/>
        <w:szCs w:val="20"/>
        <w:lang w:val="da-DK"/>
      </w:rPr>
      <w:t>.</w:t>
    </w:r>
  </w:p>
  <w:p w:rsidR="00AF60F5" w:rsidRPr="002075B1" w:rsidRDefault="00AF60F5" w:rsidP="002075B1">
    <w:pPr>
      <w:pStyle w:val="Header"/>
      <w:tabs>
        <w:tab w:val="clear" w:pos="9972"/>
        <w:tab w:val="right" w:pos="9639"/>
      </w:tabs>
      <w:jc w:val="center"/>
      <w:rPr>
        <w:sz w:val="20"/>
        <w:szCs w:val="20"/>
        <w:lang w:val="da-DK"/>
      </w:rPr>
    </w:pPr>
    <w:r>
      <w:rPr>
        <w:sz w:val="20"/>
        <w:szCs w:val="20"/>
        <w:lang w:val="da-DK"/>
      </w:rPr>
      <w:t>Duomenys kaupiami ir saugomi Juridinių asmenų registre, k</w:t>
    </w:r>
    <w:r w:rsidRPr="00AE59A1">
      <w:rPr>
        <w:sz w:val="20"/>
        <w:szCs w:val="20"/>
        <w:lang w:val="da-DK"/>
      </w:rPr>
      <w:t>od</w:t>
    </w:r>
    <w:r>
      <w:rPr>
        <w:sz w:val="20"/>
        <w:szCs w:val="20"/>
        <w:lang w:val="da-DK"/>
      </w:rPr>
      <w:t>as 188683714</w:t>
    </w:r>
  </w:p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9696"/>
    </w:tblGrid>
    <w:tr w:rsidR="00AF60F5" w:rsidRPr="00E02F4B">
      <w:tc>
        <w:tcPr>
          <w:tcW w:w="9696" w:type="dxa"/>
          <w:tcBorders>
            <w:top w:val="single" w:sz="4" w:space="0" w:color="auto"/>
          </w:tcBorders>
        </w:tcPr>
        <w:p w:rsidR="00AF60F5" w:rsidRPr="006F2F28" w:rsidRDefault="00AF60F5" w:rsidP="006F2F28">
          <w:pPr>
            <w:pStyle w:val="Header"/>
            <w:jc w:val="both"/>
            <w:rPr>
              <w:sz w:val="4"/>
              <w:szCs w:val="4"/>
              <w:lang w:val="da-DK"/>
            </w:rPr>
          </w:pPr>
        </w:p>
      </w:tc>
    </w:tr>
  </w:tbl>
  <w:p w:rsidR="00AF60F5" w:rsidRPr="00546CA8" w:rsidRDefault="00AF60F5" w:rsidP="00292068">
    <w:pPr>
      <w:pStyle w:val="Header"/>
      <w:jc w:val="both"/>
      <w:rPr>
        <w:sz w:val="2"/>
        <w:szCs w:val="2"/>
        <w:lang w:val="pt-BR"/>
      </w:rPr>
    </w:pPr>
  </w:p>
  <w:p w:rsidR="00AF60F5" w:rsidRPr="00546CA8" w:rsidRDefault="00AF60F5">
    <w:pPr>
      <w:pStyle w:val="Head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15CF9"/>
    <w:multiLevelType w:val="multilevel"/>
    <w:tmpl w:val="DB1EC3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E6B1683"/>
    <w:multiLevelType w:val="hybridMultilevel"/>
    <w:tmpl w:val="7F9870F6"/>
    <w:lvl w:ilvl="0" w:tplc="0427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1F8152BC"/>
    <w:multiLevelType w:val="hybridMultilevel"/>
    <w:tmpl w:val="A0683E8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2B627727"/>
    <w:multiLevelType w:val="hybridMultilevel"/>
    <w:tmpl w:val="CE260BC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A30C24"/>
    <w:multiLevelType w:val="hybridMultilevel"/>
    <w:tmpl w:val="4F9A1D40"/>
    <w:lvl w:ilvl="0" w:tplc="88C21466">
      <w:start w:val="1"/>
      <w:numFmt w:val="decimal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8BE578A"/>
    <w:multiLevelType w:val="hybridMultilevel"/>
    <w:tmpl w:val="893C6A0A"/>
    <w:lvl w:ilvl="0" w:tplc="919C8EB6">
      <w:start w:val="1"/>
      <w:numFmt w:val="decimal"/>
      <w:lvlText w:val="%1."/>
      <w:lvlJc w:val="left"/>
      <w:pPr>
        <w:ind w:left="16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17743C"/>
    <w:multiLevelType w:val="hybridMultilevel"/>
    <w:tmpl w:val="472A9514"/>
    <w:lvl w:ilvl="0" w:tplc="AD7017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82FB7"/>
    <w:multiLevelType w:val="hybridMultilevel"/>
    <w:tmpl w:val="6F00A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30EA3"/>
    <w:multiLevelType w:val="hybridMultilevel"/>
    <w:tmpl w:val="7BA0319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7A04D6"/>
    <w:multiLevelType w:val="hybridMultilevel"/>
    <w:tmpl w:val="CC02E26E"/>
    <w:lvl w:ilvl="0" w:tplc="F8906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976A9E"/>
    <w:multiLevelType w:val="hybridMultilevel"/>
    <w:tmpl w:val="F2B6B77C"/>
    <w:lvl w:ilvl="0" w:tplc="1E341F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B783630"/>
    <w:multiLevelType w:val="hybridMultilevel"/>
    <w:tmpl w:val="467C8380"/>
    <w:lvl w:ilvl="0" w:tplc="C6041D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45D683B"/>
    <w:multiLevelType w:val="hybridMultilevel"/>
    <w:tmpl w:val="4BDA6822"/>
    <w:lvl w:ilvl="0" w:tplc="6A1C2B08">
      <w:start w:val="1"/>
      <w:numFmt w:val="decimal"/>
      <w:lvlText w:val="%1."/>
      <w:lvlJc w:val="left"/>
      <w:pPr>
        <w:ind w:left="340" w:firstLine="397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03166B"/>
    <w:multiLevelType w:val="hybridMultilevel"/>
    <w:tmpl w:val="43C672DA"/>
    <w:lvl w:ilvl="0" w:tplc="3DC29A2E">
      <w:start w:val="1"/>
      <w:numFmt w:val="decimal"/>
      <w:lvlText w:val="%1)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88A0920"/>
    <w:multiLevelType w:val="hybridMultilevel"/>
    <w:tmpl w:val="CB3E83CC"/>
    <w:lvl w:ilvl="0" w:tplc="A5BEE28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9754755"/>
    <w:multiLevelType w:val="multilevel"/>
    <w:tmpl w:val="1780008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B7D4451"/>
    <w:multiLevelType w:val="hybridMultilevel"/>
    <w:tmpl w:val="880A7216"/>
    <w:lvl w:ilvl="0" w:tplc="D60C2F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327BF"/>
    <w:multiLevelType w:val="hybridMultilevel"/>
    <w:tmpl w:val="EB8AB6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F3B469C"/>
    <w:multiLevelType w:val="hybridMultilevel"/>
    <w:tmpl w:val="1F22BCA2"/>
    <w:lvl w:ilvl="0" w:tplc="10D2C4F6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3"/>
  </w:num>
  <w:num w:numId="5">
    <w:abstractNumId w:val="8"/>
  </w:num>
  <w:num w:numId="6">
    <w:abstractNumId w:val="1"/>
  </w:num>
  <w:num w:numId="7">
    <w:abstractNumId w:val="11"/>
  </w:num>
  <w:num w:numId="8">
    <w:abstractNumId w:val="14"/>
  </w:num>
  <w:num w:numId="9">
    <w:abstractNumId w:val="6"/>
  </w:num>
  <w:num w:numId="10">
    <w:abstractNumId w:val="18"/>
  </w:num>
  <w:num w:numId="11">
    <w:abstractNumId w:val="7"/>
  </w:num>
  <w:num w:numId="12">
    <w:abstractNumId w:val="17"/>
  </w:num>
  <w:num w:numId="13">
    <w:abstractNumId w:val="2"/>
  </w:num>
  <w:num w:numId="14">
    <w:abstractNumId w:val="5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0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396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58E"/>
    <w:rsid w:val="00000BB2"/>
    <w:rsid w:val="0001117E"/>
    <w:rsid w:val="00011D1D"/>
    <w:rsid w:val="00017E33"/>
    <w:rsid w:val="0002188E"/>
    <w:rsid w:val="00021A1A"/>
    <w:rsid w:val="0002552C"/>
    <w:rsid w:val="0003529F"/>
    <w:rsid w:val="00042EDD"/>
    <w:rsid w:val="0004467A"/>
    <w:rsid w:val="00044DD2"/>
    <w:rsid w:val="000461C3"/>
    <w:rsid w:val="000472A0"/>
    <w:rsid w:val="00051416"/>
    <w:rsid w:val="00053E3C"/>
    <w:rsid w:val="000660E6"/>
    <w:rsid w:val="000666E7"/>
    <w:rsid w:val="00076026"/>
    <w:rsid w:val="00077C67"/>
    <w:rsid w:val="000856AE"/>
    <w:rsid w:val="00086332"/>
    <w:rsid w:val="00086C2A"/>
    <w:rsid w:val="0009027B"/>
    <w:rsid w:val="000A0082"/>
    <w:rsid w:val="000A6CB1"/>
    <w:rsid w:val="000B28B3"/>
    <w:rsid w:val="000B37A2"/>
    <w:rsid w:val="000B65A0"/>
    <w:rsid w:val="000B7A4F"/>
    <w:rsid w:val="000C0646"/>
    <w:rsid w:val="000C15BF"/>
    <w:rsid w:val="000C1C25"/>
    <w:rsid w:val="000C7215"/>
    <w:rsid w:val="000D032A"/>
    <w:rsid w:val="000D1B7A"/>
    <w:rsid w:val="000D1BFE"/>
    <w:rsid w:val="000D62E7"/>
    <w:rsid w:val="000D7317"/>
    <w:rsid w:val="000D75C9"/>
    <w:rsid w:val="000E1FBF"/>
    <w:rsid w:val="000E297F"/>
    <w:rsid w:val="000F1A49"/>
    <w:rsid w:val="000F1F00"/>
    <w:rsid w:val="000F4622"/>
    <w:rsid w:val="00101F99"/>
    <w:rsid w:val="001022AC"/>
    <w:rsid w:val="001033BD"/>
    <w:rsid w:val="00107000"/>
    <w:rsid w:val="00111E96"/>
    <w:rsid w:val="001157EC"/>
    <w:rsid w:val="001179AA"/>
    <w:rsid w:val="00120751"/>
    <w:rsid w:val="00120F2E"/>
    <w:rsid w:val="001275C9"/>
    <w:rsid w:val="00127E58"/>
    <w:rsid w:val="001355CA"/>
    <w:rsid w:val="00137FDF"/>
    <w:rsid w:val="00143493"/>
    <w:rsid w:val="00144BC4"/>
    <w:rsid w:val="00146002"/>
    <w:rsid w:val="00147AB5"/>
    <w:rsid w:val="0015285C"/>
    <w:rsid w:val="00156CE2"/>
    <w:rsid w:val="00161440"/>
    <w:rsid w:val="00164431"/>
    <w:rsid w:val="00164542"/>
    <w:rsid w:val="00167D6E"/>
    <w:rsid w:val="001730E0"/>
    <w:rsid w:val="00175AF9"/>
    <w:rsid w:val="001770F4"/>
    <w:rsid w:val="00177E89"/>
    <w:rsid w:val="00180F42"/>
    <w:rsid w:val="0018670B"/>
    <w:rsid w:val="001A2EE7"/>
    <w:rsid w:val="001A585A"/>
    <w:rsid w:val="001B403D"/>
    <w:rsid w:val="001C0634"/>
    <w:rsid w:val="001C25B4"/>
    <w:rsid w:val="001D1919"/>
    <w:rsid w:val="001E5B9C"/>
    <w:rsid w:val="001E6F9D"/>
    <w:rsid w:val="001F1040"/>
    <w:rsid w:val="001F27A7"/>
    <w:rsid w:val="001F34A6"/>
    <w:rsid w:val="001F3E9F"/>
    <w:rsid w:val="001F4222"/>
    <w:rsid w:val="001F4DBD"/>
    <w:rsid w:val="001F696A"/>
    <w:rsid w:val="0020347F"/>
    <w:rsid w:val="0020387A"/>
    <w:rsid w:val="00206FB5"/>
    <w:rsid w:val="002075B1"/>
    <w:rsid w:val="0021030A"/>
    <w:rsid w:val="002109E4"/>
    <w:rsid w:val="00212D85"/>
    <w:rsid w:val="00214851"/>
    <w:rsid w:val="00216776"/>
    <w:rsid w:val="00220B84"/>
    <w:rsid w:val="002263A2"/>
    <w:rsid w:val="00231A43"/>
    <w:rsid w:val="002357BA"/>
    <w:rsid w:val="002375D6"/>
    <w:rsid w:val="00237F82"/>
    <w:rsid w:val="00241A81"/>
    <w:rsid w:val="0024424B"/>
    <w:rsid w:val="00245BD0"/>
    <w:rsid w:val="00250779"/>
    <w:rsid w:val="00274159"/>
    <w:rsid w:val="00274ACC"/>
    <w:rsid w:val="00274C6D"/>
    <w:rsid w:val="00275AFD"/>
    <w:rsid w:val="002762D3"/>
    <w:rsid w:val="00284A03"/>
    <w:rsid w:val="00285306"/>
    <w:rsid w:val="0028621F"/>
    <w:rsid w:val="00292068"/>
    <w:rsid w:val="00292E31"/>
    <w:rsid w:val="00293B44"/>
    <w:rsid w:val="002A1B26"/>
    <w:rsid w:val="002A2867"/>
    <w:rsid w:val="002A5B18"/>
    <w:rsid w:val="002A5BE1"/>
    <w:rsid w:val="002A5E52"/>
    <w:rsid w:val="002B0A66"/>
    <w:rsid w:val="002B297E"/>
    <w:rsid w:val="002B6824"/>
    <w:rsid w:val="002B6B29"/>
    <w:rsid w:val="002C1278"/>
    <w:rsid w:val="002C39D9"/>
    <w:rsid w:val="002C5962"/>
    <w:rsid w:val="002C68F5"/>
    <w:rsid w:val="002C7D15"/>
    <w:rsid w:val="002D0184"/>
    <w:rsid w:val="002D4B82"/>
    <w:rsid w:val="002D7686"/>
    <w:rsid w:val="002E55C7"/>
    <w:rsid w:val="002E611A"/>
    <w:rsid w:val="002F0867"/>
    <w:rsid w:val="002F215A"/>
    <w:rsid w:val="002F2906"/>
    <w:rsid w:val="002F50CB"/>
    <w:rsid w:val="002F5F3C"/>
    <w:rsid w:val="00300394"/>
    <w:rsid w:val="003007B9"/>
    <w:rsid w:val="00301A3F"/>
    <w:rsid w:val="0030357D"/>
    <w:rsid w:val="00307860"/>
    <w:rsid w:val="003119A3"/>
    <w:rsid w:val="00312016"/>
    <w:rsid w:val="003163A5"/>
    <w:rsid w:val="00316535"/>
    <w:rsid w:val="00325CA4"/>
    <w:rsid w:val="0032638E"/>
    <w:rsid w:val="00331D95"/>
    <w:rsid w:val="00332D81"/>
    <w:rsid w:val="00340A45"/>
    <w:rsid w:val="00345BE1"/>
    <w:rsid w:val="0035485F"/>
    <w:rsid w:val="003574B6"/>
    <w:rsid w:val="00371A32"/>
    <w:rsid w:val="00374892"/>
    <w:rsid w:val="0037493D"/>
    <w:rsid w:val="00374968"/>
    <w:rsid w:val="0037507E"/>
    <w:rsid w:val="003779BD"/>
    <w:rsid w:val="003807AB"/>
    <w:rsid w:val="003810FF"/>
    <w:rsid w:val="00381360"/>
    <w:rsid w:val="00381615"/>
    <w:rsid w:val="00385D3B"/>
    <w:rsid w:val="0038793F"/>
    <w:rsid w:val="00394173"/>
    <w:rsid w:val="00395766"/>
    <w:rsid w:val="003974D0"/>
    <w:rsid w:val="003A0D01"/>
    <w:rsid w:val="003A44F4"/>
    <w:rsid w:val="003A5C12"/>
    <w:rsid w:val="003A6FD5"/>
    <w:rsid w:val="003A7257"/>
    <w:rsid w:val="003B1E28"/>
    <w:rsid w:val="003C3FB4"/>
    <w:rsid w:val="003D2741"/>
    <w:rsid w:val="003D3749"/>
    <w:rsid w:val="003D521B"/>
    <w:rsid w:val="003D6DBA"/>
    <w:rsid w:val="003D7DCA"/>
    <w:rsid w:val="003E0ABB"/>
    <w:rsid w:val="003E23B5"/>
    <w:rsid w:val="003E2AE3"/>
    <w:rsid w:val="003E3F15"/>
    <w:rsid w:val="003F2367"/>
    <w:rsid w:val="003F48B1"/>
    <w:rsid w:val="003F5A05"/>
    <w:rsid w:val="003F64D2"/>
    <w:rsid w:val="004008D1"/>
    <w:rsid w:val="00407B1E"/>
    <w:rsid w:val="004108B8"/>
    <w:rsid w:val="004109E4"/>
    <w:rsid w:val="00420704"/>
    <w:rsid w:val="00422738"/>
    <w:rsid w:val="004230C2"/>
    <w:rsid w:val="00423413"/>
    <w:rsid w:val="0042371A"/>
    <w:rsid w:val="004306A0"/>
    <w:rsid w:val="0043299D"/>
    <w:rsid w:val="00435CA3"/>
    <w:rsid w:val="00445258"/>
    <w:rsid w:val="00445501"/>
    <w:rsid w:val="004508C6"/>
    <w:rsid w:val="004516CB"/>
    <w:rsid w:val="00451CD8"/>
    <w:rsid w:val="004565B5"/>
    <w:rsid w:val="0045749B"/>
    <w:rsid w:val="00461D8C"/>
    <w:rsid w:val="00462945"/>
    <w:rsid w:val="00464597"/>
    <w:rsid w:val="004664FF"/>
    <w:rsid w:val="004668D2"/>
    <w:rsid w:val="004762B7"/>
    <w:rsid w:val="00476CC3"/>
    <w:rsid w:val="00476F7B"/>
    <w:rsid w:val="004811CC"/>
    <w:rsid w:val="00484F69"/>
    <w:rsid w:val="00485DA9"/>
    <w:rsid w:val="00490654"/>
    <w:rsid w:val="004906DA"/>
    <w:rsid w:val="004920E9"/>
    <w:rsid w:val="00492E34"/>
    <w:rsid w:val="004970F9"/>
    <w:rsid w:val="004A4F0B"/>
    <w:rsid w:val="004A6354"/>
    <w:rsid w:val="004A6E61"/>
    <w:rsid w:val="004B1AB2"/>
    <w:rsid w:val="004B1D36"/>
    <w:rsid w:val="004B1D7B"/>
    <w:rsid w:val="004B3820"/>
    <w:rsid w:val="004B4CEA"/>
    <w:rsid w:val="004C27E5"/>
    <w:rsid w:val="004C7DCD"/>
    <w:rsid w:val="004D158C"/>
    <w:rsid w:val="004D1DEE"/>
    <w:rsid w:val="004D67E0"/>
    <w:rsid w:val="004E3F59"/>
    <w:rsid w:val="004E7A7B"/>
    <w:rsid w:val="004F05E8"/>
    <w:rsid w:val="004F67FF"/>
    <w:rsid w:val="004F7E96"/>
    <w:rsid w:val="0050139C"/>
    <w:rsid w:val="00503573"/>
    <w:rsid w:val="00504C85"/>
    <w:rsid w:val="0050682D"/>
    <w:rsid w:val="00507182"/>
    <w:rsid w:val="0051262C"/>
    <w:rsid w:val="005140A7"/>
    <w:rsid w:val="0051531A"/>
    <w:rsid w:val="0051556E"/>
    <w:rsid w:val="00517246"/>
    <w:rsid w:val="00536D02"/>
    <w:rsid w:val="005372E2"/>
    <w:rsid w:val="005448F2"/>
    <w:rsid w:val="00546CA8"/>
    <w:rsid w:val="00556837"/>
    <w:rsid w:val="0057074B"/>
    <w:rsid w:val="0057346E"/>
    <w:rsid w:val="00594154"/>
    <w:rsid w:val="0059454C"/>
    <w:rsid w:val="0059490F"/>
    <w:rsid w:val="005949C2"/>
    <w:rsid w:val="005A2C53"/>
    <w:rsid w:val="005A5513"/>
    <w:rsid w:val="005A659D"/>
    <w:rsid w:val="005A727F"/>
    <w:rsid w:val="005B5D0B"/>
    <w:rsid w:val="005B694E"/>
    <w:rsid w:val="005C11C5"/>
    <w:rsid w:val="005C663F"/>
    <w:rsid w:val="005C6D4A"/>
    <w:rsid w:val="005C7AAA"/>
    <w:rsid w:val="005D1813"/>
    <w:rsid w:val="005D64CF"/>
    <w:rsid w:val="005E269A"/>
    <w:rsid w:val="005E2E54"/>
    <w:rsid w:val="005E42B7"/>
    <w:rsid w:val="005F19D4"/>
    <w:rsid w:val="00600111"/>
    <w:rsid w:val="006006D6"/>
    <w:rsid w:val="0060304C"/>
    <w:rsid w:val="006047FC"/>
    <w:rsid w:val="00607C4C"/>
    <w:rsid w:val="006106D2"/>
    <w:rsid w:val="00612F49"/>
    <w:rsid w:val="00613E92"/>
    <w:rsid w:val="00614C8A"/>
    <w:rsid w:val="006262E9"/>
    <w:rsid w:val="00632651"/>
    <w:rsid w:val="006332B2"/>
    <w:rsid w:val="00636075"/>
    <w:rsid w:val="00651976"/>
    <w:rsid w:val="00654505"/>
    <w:rsid w:val="0065687A"/>
    <w:rsid w:val="00670B75"/>
    <w:rsid w:val="006720BF"/>
    <w:rsid w:val="00680498"/>
    <w:rsid w:val="006804FE"/>
    <w:rsid w:val="00681423"/>
    <w:rsid w:val="0068205C"/>
    <w:rsid w:val="00686E2A"/>
    <w:rsid w:val="00691A0C"/>
    <w:rsid w:val="00695160"/>
    <w:rsid w:val="00695755"/>
    <w:rsid w:val="00697CE7"/>
    <w:rsid w:val="006A1984"/>
    <w:rsid w:val="006A2AFB"/>
    <w:rsid w:val="006A4FAF"/>
    <w:rsid w:val="006B2532"/>
    <w:rsid w:val="006B41B3"/>
    <w:rsid w:val="006C0A75"/>
    <w:rsid w:val="006C78A2"/>
    <w:rsid w:val="006C7FE1"/>
    <w:rsid w:val="006D023E"/>
    <w:rsid w:val="006D0A3E"/>
    <w:rsid w:val="006D2579"/>
    <w:rsid w:val="006D2C3B"/>
    <w:rsid w:val="006D63FA"/>
    <w:rsid w:val="006D6A0F"/>
    <w:rsid w:val="006D6B42"/>
    <w:rsid w:val="006E4DC3"/>
    <w:rsid w:val="006E5D3C"/>
    <w:rsid w:val="006F2E1D"/>
    <w:rsid w:val="006F2F28"/>
    <w:rsid w:val="006F438C"/>
    <w:rsid w:val="006F72D7"/>
    <w:rsid w:val="007010EE"/>
    <w:rsid w:val="0070128B"/>
    <w:rsid w:val="00706D22"/>
    <w:rsid w:val="0071173B"/>
    <w:rsid w:val="00711EAF"/>
    <w:rsid w:val="00717CF5"/>
    <w:rsid w:val="0072000D"/>
    <w:rsid w:val="007208CF"/>
    <w:rsid w:val="00726EAF"/>
    <w:rsid w:val="007328C8"/>
    <w:rsid w:val="00733F44"/>
    <w:rsid w:val="0073511C"/>
    <w:rsid w:val="00736B91"/>
    <w:rsid w:val="00741737"/>
    <w:rsid w:val="0074280E"/>
    <w:rsid w:val="00757047"/>
    <w:rsid w:val="00764D0E"/>
    <w:rsid w:val="00773604"/>
    <w:rsid w:val="007746E0"/>
    <w:rsid w:val="00774D22"/>
    <w:rsid w:val="00775856"/>
    <w:rsid w:val="00785581"/>
    <w:rsid w:val="007878E5"/>
    <w:rsid w:val="0079229E"/>
    <w:rsid w:val="007A239A"/>
    <w:rsid w:val="007A3041"/>
    <w:rsid w:val="007A30B1"/>
    <w:rsid w:val="007A6FB5"/>
    <w:rsid w:val="007B354F"/>
    <w:rsid w:val="007B6C65"/>
    <w:rsid w:val="007C13AD"/>
    <w:rsid w:val="007C62A1"/>
    <w:rsid w:val="007D5EE0"/>
    <w:rsid w:val="007E033D"/>
    <w:rsid w:val="007E1345"/>
    <w:rsid w:val="007E60B9"/>
    <w:rsid w:val="007E79E8"/>
    <w:rsid w:val="007F6159"/>
    <w:rsid w:val="0080150E"/>
    <w:rsid w:val="00801F87"/>
    <w:rsid w:val="008044A3"/>
    <w:rsid w:val="00805CA7"/>
    <w:rsid w:val="0080671F"/>
    <w:rsid w:val="00806909"/>
    <w:rsid w:val="00807589"/>
    <w:rsid w:val="00815901"/>
    <w:rsid w:val="00815CCE"/>
    <w:rsid w:val="00817485"/>
    <w:rsid w:val="00826048"/>
    <w:rsid w:val="008371C5"/>
    <w:rsid w:val="0084219E"/>
    <w:rsid w:val="00842B4E"/>
    <w:rsid w:val="00846B45"/>
    <w:rsid w:val="00847978"/>
    <w:rsid w:val="00852CE1"/>
    <w:rsid w:val="00853A31"/>
    <w:rsid w:val="00854655"/>
    <w:rsid w:val="00855836"/>
    <w:rsid w:val="008621D5"/>
    <w:rsid w:val="00867AF0"/>
    <w:rsid w:val="00870BD0"/>
    <w:rsid w:val="0087178C"/>
    <w:rsid w:val="008720BC"/>
    <w:rsid w:val="008763F9"/>
    <w:rsid w:val="008766E6"/>
    <w:rsid w:val="00877DA2"/>
    <w:rsid w:val="00885EF5"/>
    <w:rsid w:val="00890846"/>
    <w:rsid w:val="008935B7"/>
    <w:rsid w:val="00895196"/>
    <w:rsid w:val="00897C7A"/>
    <w:rsid w:val="008A5F25"/>
    <w:rsid w:val="008B0FC4"/>
    <w:rsid w:val="008C00A5"/>
    <w:rsid w:val="008C099C"/>
    <w:rsid w:val="008C1055"/>
    <w:rsid w:val="008C3739"/>
    <w:rsid w:val="008C41AC"/>
    <w:rsid w:val="008D31C4"/>
    <w:rsid w:val="008D62AE"/>
    <w:rsid w:val="008E2175"/>
    <w:rsid w:val="008E2C57"/>
    <w:rsid w:val="008E524C"/>
    <w:rsid w:val="008F00BF"/>
    <w:rsid w:val="008F3C8E"/>
    <w:rsid w:val="00902B98"/>
    <w:rsid w:val="00905CA7"/>
    <w:rsid w:val="009063DE"/>
    <w:rsid w:val="00913551"/>
    <w:rsid w:val="00913A9E"/>
    <w:rsid w:val="00914C5D"/>
    <w:rsid w:val="00924C05"/>
    <w:rsid w:val="009271BE"/>
    <w:rsid w:val="009315E6"/>
    <w:rsid w:val="009335BF"/>
    <w:rsid w:val="00934570"/>
    <w:rsid w:val="009356FC"/>
    <w:rsid w:val="009423B9"/>
    <w:rsid w:val="00942999"/>
    <w:rsid w:val="00944011"/>
    <w:rsid w:val="009501D0"/>
    <w:rsid w:val="00952FAB"/>
    <w:rsid w:val="00953ACB"/>
    <w:rsid w:val="009566B0"/>
    <w:rsid w:val="009568FA"/>
    <w:rsid w:val="00961D58"/>
    <w:rsid w:val="00975BD9"/>
    <w:rsid w:val="009824BA"/>
    <w:rsid w:val="009863E3"/>
    <w:rsid w:val="009903A0"/>
    <w:rsid w:val="00995736"/>
    <w:rsid w:val="00996A37"/>
    <w:rsid w:val="009A10B1"/>
    <w:rsid w:val="009A365A"/>
    <w:rsid w:val="009B258D"/>
    <w:rsid w:val="009B3941"/>
    <w:rsid w:val="009B754C"/>
    <w:rsid w:val="009C56A5"/>
    <w:rsid w:val="009C5A8E"/>
    <w:rsid w:val="009C6FC2"/>
    <w:rsid w:val="009C7253"/>
    <w:rsid w:val="009E4CFB"/>
    <w:rsid w:val="009E55B1"/>
    <w:rsid w:val="009E7F15"/>
    <w:rsid w:val="009F3FE2"/>
    <w:rsid w:val="009F6C08"/>
    <w:rsid w:val="009F7798"/>
    <w:rsid w:val="00A00720"/>
    <w:rsid w:val="00A07A5A"/>
    <w:rsid w:val="00A126E4"/>
    <w:rsid w:val="00A1493E"/>
    <w:rsid w:val="00A1589D"/>
    <w:rsid w:val="00A160DD"/>
    <w:rsid w:val="00A23356"/>
    <w:rsid w:val="00A23A13"/>
    <w:rsid w:val="00A275C0"/>
    <w:rsid w:val="00A32122"/>
    <w:rsid w:val="00A3266A"/>
    <w:rsid w:val="00A32726"/>
    <w:rsid w:val="00A3296F"/>
    <w:rsid w:val="00A34800"/>
    <w:rsid w:val="00A3749D"/>
    <w:rsid w:val="00A37520"/>
    <w:rsid w:val="00A37924"/>
    <w:rsid w:val="00A4252D"/>
    <w:rsid w:val="00A42916"/>
    <w:rsid w:val="00A44B8B"/>
    <w:rsid w:val="00A4776F"/>
    <w:rsid w:val="00A5266C"/>
    <w:rsid w:val="00A54854"/>
    <w:rsid w:val="00A54A30"/>
    <w:rsid w:val="00A55B33"/>
    <w:rsid w:val="00A64724"/>
    <w:rsid w:val="00A673D8"/>
    <w:rsid w:val="00A70477"/>
    <w:rsid w:val="00A71402"/>
    <w:rsid w:val="00A734E1"/>
    <w:rsid w:val="00A7390F"/>
    <w:rsid w:val="00A7471A"/>
    <w:rsid w:val="00A74ED3"/>
    <w:rsid w:val="00A77D7B"/>
    <w:rsid w:val="00A81484"/>
    <w:rsid w:val="00A82310"/>
    <w:rsid w:val="00A826AB"/>
    <w:rsid w:val="00A83985"/>
    <w:rsid w:val="00A83996"/>
    <w:rsid w:val="00A90294"/>
    <w:rsid w:val="00A92477"/>
    <w:rsid w:val="00A93F51"/>
    <w:rsid w:val="00A96586"/>
    <w:rsid w:val="00AA6357"/>
    <w:rsid w:val="00AA7980"/>
    <w:rsid w:val="00AB6DF1"/>
    <w:rsid w:val="00AC549E"/>
    <w:rsid w:val="00AC6291"/>
    <w:rsid w:val="00AD05A2"/>
    <w:rsid w:val="00AE027D"/>
    <w:rsid w:val="00AE05B5"/>
    <w:rsid w:val="00AE59A1"/>
    <w:rsid w:val="00AE71E0"/>
    <w:rsid w:val="00AF18FD"/>
    <w:rsid w:val="00AF60F5"/>
    <w:rsid w:val="00AF67A5"/>
    <w:rsid w:val="00AF70F8"/>
    <w:rsid w:val="00B00309"/>
    <w:rsid w:val="00B05AA9"/>
    <w:rsid w:val="00B064E7"/>
    <w:rsid w:val="00B06917"/>
    <w:rsid w:val="00B12F36"/>
    <w:rsid w:val="00B17C27"/>
    <w:rsid w:val="00B21EAA"/>
    <w:rsid w:val="00B269F6"/>
    <w:rsid w:val="00B332F7"/>
    <w:rsid w:val="00B34555"/>
    <w:rsid w:val="00B35074"/>
    <w:rsid w:val="00B366E5"/>
    <w:rsid w:val="00B36B58"/>
    <w:rsid w:val="00B40351"/>
    <w:rsid w:val="00B4459B"/>
    <w:rsid w:val="00B457A8"/>
    <w:rsid w:val="00B4790F"/>
    <w:rsid w:val="00B479DD"/>
    <w:rsid w:val="00B5305B"/>
    <w:rsid w:val="00B57159"/>
    <w:rsid w:val="00B57299"/>
    <w:rsid w:val="00B6384F"/>
    <w:rsid w:val="00B63DA4"/>
    <w:rsid w:val="00B671BC"/>
    <w:rsid w:val="00B767E8"/>
    <w:rsid w:val="00B7799A"/>
    <w:rsid w:val="00B80D0B"/>
    <w:rsid w:val="00B82638"/>
    <w:rsid w:val="00B83392"/>
    <w:rsid w:val="00B85F04"/>
    <w:rsid w:val="00B90816"/>
    <w:rsid w:val="00B9331B"/>
    <w:rsid w:val="00B94144"/>
    <w:rsid w:val="00B94DD6"/>
    <w:rsid w:val="00BA2A1E"/>
    <w:rsid w:val="00BA3A8D"/>
    <w:rsid w:val="00BA6C50"/>
    <w:rsid w:val="00BA723C"/>
    <w:rsid w:val="00BB5F2F"/>
    <w:rsid w:val="00BB66F7"/>
    <w:rsid w:val="00BB7C0E"/>
    <w:rsid w:val="00BC4D5D"/>
    <w:rsid w:val="00BC6C12"/>
    <w:rsid w:val="00BD0D36"/>
    <w:rsid w:val="00BD3E5D"/>
    <w:rsid w:val="00BE0371"/>
    <w:rsid w:val="00BE1E6D"/>
    <w:rsid w:val="00C04ADA"/>
    <w:rsid w:val="00C04B70"/>
    <w:rsid w:val="00C11842"/>
    <w:rsid w:val="00C11C5C"/>
    <w:rsid w:val="00C142DC"/>
    <w:rsid w:val="00C22BB2"/>
    <w:rsid w:val="00C24C58"/>
    <w:rsid w:val="00C274C1"/>
    <w:rsid w:val="00C27674"/>
    <w:rsid w:val="00C31111"/>
    <w:rsid w:val="00C3181C"/>
    <w:rsid w:val="00C33AB7"/>
    <w:rsid w:val="00C36E81"/>
    <w:rsid w:val="00C420EE"/>
    <w:rsid w:val="00C67600"/>
    <w:rsid w:val="00C67914"/>
    <w:rsid w:val="00C73D4A"/>
    <w:rsid w:val="00C7425F"/>
    <w:rsid w:val="00C76287"/>
    <w:rsid w:val="00C80139"/>
    <w:rsid w:val="00C807EE"/>
    <w:rsid w:val="00C814D7"/>
    <w:rsid w:val="00C83AB4"/>
    <w:rsid w:val="00C874D0"/>
    <w:rsid w:val="00C93110"/>
    <w:rsid w:val="00C9553D"/>
    <w:rsid w:val="00C972B9"/>
    <w:rsid w:val="00CA5364"/>
    <w:rsid w:val="00CA760A"/>
    <w:rsid w:val="00CB2CE9"/>
    <w:rsid w:val="00CB58DF"/>
    <w:rsid w:val="00CC1812"/>
    <w:rsid w:val="00CC4EA0"/>
    <w:rsid w:val="00CD2C0E"/>
    <w:rsid w:val="00CE0323"/>
    <w:rsid w:val="00CE11A3"/>
    <w:rsid w:val="00CE1B99"/>
    <w:rsid w:val="00CE1E36"/>
    <w:rsid w:val="00CE40B8"/>
    <w:rsid w:val="00CE639F"/>
    <w:rsid w:val="00CE653F"/>
    <w:rsid w:val="00CF35E8"/>
    <w:rsid w:val="00CF3F9E"/>
    <w:rsid w:val="00D02BE2"/>
    <w:rsid w:val="00D02CF7"/>
    <w:rsid w:val="00D03ABD"/>
    <w:rsid w:val="00D03BD8"/>
    <w:rsid w:val="00D111CC"/>
    <w:rsid w:val="00D1408A"/>
    <w:rsid w:val="00D2248C"/>
    <w:rsid w:val="00D26733"/>
    <w:rsid w:val="00D34CE2"/>
    <w:rsid w:val="00D4158E"/>
    <w:rsid w:val="00D50D76"/>
    <w:rsid w:val="00D5399F"/>
    <w:rsid w:val="00D54720"/>
    <w:rsid w:val="00D61130"/>
    <w:rsid w:val="00D64C06"/>
    <w:rsid w:val="00D8268C"/>
    <w:rsid w:val="00D840D7"/>
    <w:rsid w:val="00D917F4"/>
    <w:rsid w:val="00D9290B"/>
    <w:rsid w:val="00D97366"/>
    <w:rsid w:val="00DB1124"/>
    <w:rsid w:val="00DB1E27"/>
    <w:rsid w:val="00DB2E5E"/>
    <w:rsid w:val="00DB3AA0"/>
    <w:rsid w:val="00DB6C1D"/>
    <w:rsid w:val="00DC0CC6"/>
    <w:rsid w:val="00DC3E72"/>
    <w:rsid w:val="00DD33EE"/>
    <w:rsid w:val="00DD47A9"/>
    <w:rsid w:val="00DD533B"/>
    <w:rsid w:val="00DD768E"/>
    <w:rsid w:val="00DD7951"/>
    <w:rsid w:val="00DE2B06"/>
    <w:rsid w:val="00DF53D1"/>
    <w:rsid w:val="00DF621B"/>
    <w:rsid w:val="00E02F4B"/>
    <w:rsid w:val="00E06104"/>
    <w:rsid w:val="00E067A5"/>
    <w:rsid w:val="00E1033E"/>
    <w:rsid w:val="00E10DF8"/>
    <w:rsid w:val="00E15C42"/>
    <w:rsid w:val="00E1789C"/>
    <w:rsid w:val="00E21E47"/>
    <w:rsid w:val="00E22CBE"/>
    <w:rsid w:val="00E249B0"/>
    <w:rsid w:val="00E3498C"/>
    <w:rsid w:val="00E369B8"/>
    <w:rsid w:val="00E376FA"/>
    <w:rsid w:val="00E40293"/>
    <w:rsid w:val="00E41B45"/>
    <w:rsid w:val="00E44240"/>
    <w:rsid w:val="00E5214E"/>
    <w:rsid w:val="00E53C01"/>
    <w:rsid w:val="00E6042F"/>
    <w:rsid w:val="00E61912"/>
    <w:rsid w:val="00E62C26"/>
    <w:rsid w:val="00E63E5B"/>
    <w:rsid w:val="00E65692"/>
    <w:rsid w:val="00E670F4"/>
    <w:rsid w:val="00E70349"/>
    <w:rsid w:val="00E753F1"/>
    <w:rsid w:val="00E7707F"/>
    <w:rsid w:val="00E81A93"/>
    <w:rsid w:val="00E81AD3"/>
    <w:rsid w:val="00E84881"/>
    <w:rsid w:val="00E86E7D"/>
    <w:rsid w:val="00E90792"/>
    <w:rsid w:val="00E951B8"/>
    <w:rsid w:val="00E97AF6"/>
    <w:rsid w:val="00EA399D"/>
    <w:rsid w:val="00EA50DD"/>
    <w:rsid w:val="00EB5D56"/>
    <w:rsid w:val="00EB78D2"/>
    <w:rsid w:val="00EC3AB9"/>
    <w:rsid w:val="00EC7636"/>
    <w:rsid w:val="00EC7D4A"/>
    <w:rsid w:val="00ED1384"/>
    <w:rsid w:val="00ED279C"/>
    <w:rsid w:val="00ED576C"/>
    <w:rsid w:val="00EE0B08"/>
    <w:rsid w:val="00EE41A3"/>
    <w:rsid w:val="00EF08AF"/>
    <w:rsid w:val="00EF228A"/>
    <w:rsid w:val="00EF376E"/>
    <w:rsid w:val="00EF4006"/>
    <w:rsid w:val="00EF5FEC"/>
    <w:rsid w:val="00F042AD"/>
    <w:rsid w:val="00F07320"/>
    <w:rsid w:val="00F0765A"/>
    <w:rsid w:val="00F12FEF"/>
    <w:rsid w:val="00F15625"/>
    <w:rsid w:val="00F263A5"/>
    <w:rsid w:val="00F27AFF"/>
    <w:rsid w:val="00F3225F"/>
    <w:rsid w:val="00F3482B"/>
    <w:rsid w:val="00F356E7"/>
    <w:rsid w:val="00F40C84"/>
    <w:rsid w:val="00F42A40"/>
    <w:rsid w:val="00F50213"/>
    <w:rsid w:val="00F512DF"/>
    <w:rsid w:val="00F54274"/>
    <w:rsid w:val="00F62DEA"/>
    <w:rsid w:val="00F662D5"/>
    <w:rsid w:val="00F707CC"/>
    <w:rsid w:val="00F733AC"/>
    <w:rsid w:val="00F7361F"/>
    <w:rsid w:val="00F81C64"/>
    <w:rsid w:val="00F822F6"/>
    <w:rsid w:val="00F9273C"/>
    <w:rsid w:val="00FA01FD"/>
    <w:rsid w:val="00FA08E3"/>
    <w:rsid w:val="00FA27EA"/>
    <w:rsid w:val="00FA3186"/>
    <w:rsid w:val="00FC055B"/>
    <w:rsid w:val="00FC1A51"/>
    <w:rsid w:val="00FC2564"/>
    <w:rsid w:val="00FD239D"/>
    <w:rsid w:val="00FE02C9"/>
    <w:rsid w:val="00FE0E0E"/>
    <w:rsid w:val="00FE1769"/>
    <w:rsid w:val="00FE4152"/>
    <w:rsid w:val="00FE52DE"/>
    <w:rsid w:val="00FE5CE2"/>
    <w:rsid w:val="00FF00AE"/>
    <w:rsid w:val="00FF2F35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69F5A7F-9B14-4E1A-94D0-ECBE27702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6D0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F215A"/>
    <w:pPr>
      <w:tabs>
        <w:tab w:val="center" w:pos="4986"/>
        <w:tab w:val="right" w:pos="9972"/>
      </w:tabs>
    </w:pPr>
  </w:style>
  <w:style w:type="character" w:customStyle="1" w:styleId="HeaderChar">
    <w:name w:val="Header Char"/>
    <w:link w:val="Header"/>
    <w:uiPriority w:val="99"/>
    <w:semiHidden/>
    <w:rsid w:val="00A3492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2F215A"/>
    <w:pPr>
      <w:tabs>
        <w:tab w:val="center" w:pos="4986"/>
        <w:tab w:val="right" w:pos="9972"/>
      </w:tabs>
    </w:pPr>
  </w:style>
  <w:style w:type="character" w:customStyle="1" w:styleId="FooterChar">
    <w:name w:val="Footer Char"/>
    <w:link w:val="Footer"/>
    <w:uiPriority w:val="99"/>
    <w:rsid w:val="00A34922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99"/>
    <w:rsid w:val="009E4C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5949C2"/>
  </w:style>
  <w:style w:type="character" w:styleId="Hyperlink">
    <w:name w:val="Hyperlink"/>
    <w:uiPriority w:val="99"/>
    <w:rsid w:val="00AE59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B3941"/>
    <w:rPr>
      <w:sz w:val="0"/>
      <w:szCs w:val="0"/>
    </w:rPr>
  </w:style>
  <w:style w:type="character" w:customStyle="1" w:styleId="BalloonTextChar">
    <w:name w:val="Balloon Text Char"/>
    <w:link w:val="BalloonText"/>
    <w:uiPriority w:val="99"/>
    <w:semiHidden/>
    <w:rsid w:val="00A34922"/>
    <w:rPr>
      <w:sz w:val="0"/>
      <w:szCs w:val="0"/>
      <w:lang w:val="en-US" w:eastAsia="en-US"/>
    </w:rPr>
  </w:style>
  <w:style w:type="paragraph" w:customStyle="1" w:styleId="ListParagraph1">
    <w:name w:val="List Paragraph1"/>
    <w:basedOn w:val="Normal"/>
    <w:uiPriority w:val="99"/>
    <w:qFormat/>
    <w:rsid w:val="00B9331B"/>
    <w:pPr>
      <w:ind w:left="720"/>
    </w:pPr>
  </w:style>
  <w:style w:type="character" w:customStyle="1" w:styleId="DiagramaDiagrama4">
    <w:name w:val="Diagrama Diagrama4"/>
    <w:locked/>
    <w:rsid w:val="00C874D0"/>
    <w:rPr>
      <w:sz w:val="24"/>
      <w:szCs w:val="24"/>
      <w:lang w:val="en-US" w:eastAsia="en-US" w:bidi="ar-SA"/>
    </w:rPr>
  </w:style>
  <w:style w:type="paragraph" w:styleId="BodyText">
    <w:name w:val="Body Text"/>
    <w:basedOn w:val="Normal"/>
    <w:rsid w:val="00536D02"/>
    <w:pPr>
      <w:spacing w:after="120"/>
    </w:pPr>
    <w:rPr>
      <w:lang w:eastAsia="lt-LT"/>
    </w:rPr>
  </w:style>
  <w:style w:type="character" w:customStyle="1" w:styleId="FontStyle13">
    <w:name w:val="Font Style13"/>
    <w:rsid w:val="00536D02"/>
    <w:rPr>
      <w:rFonts w:ascii="Times New Roman" w:hAnsi="Times New Roman" w:cs="Times New Roman"/>
      <w:sz w:val="22"/>
      <w:szCs w:val="22"/>
    </w:rPr>
  </w:style>
  <w:style w:type="paragraph" w:styleId="BodyText2">
    <w:name w:val="Body Text 2"/>
    <w:basedOn w:val="Normal"/>
    <w:rsid w:val="00C7425F"/>
    <w:pPr>
      <w:spacing w:after="120" w:line="480" w:lineRule="auto"/>
    </w:pPr>
  </w:style>
  <w:style w:type="paragraph" w:customStyle="1" w:styleId="ISTATYMAS">
    <w:name w:val="ISTATYMAS"/>
    <w:rsid w:val="00C7425F"/>
    <w:pPr>
      <w:autoSpaceDE w:val="0"/>
      <w:autoSpaceDN w:val="0"/>
      <w:adjustRightInd w:val="0"/>
      <w:jc w:val="center"/>
    </w:pPr>
    <w:rPr>
      <w:rFonts w:ascii="TimesLT" w:hAnsi="TimesLT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38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384F"/>
  </w:style>
  <w:style w:type="character" w:styleId="FootnoteReference">
    <w:name w:val="footnote reference"/>
    <w:uiPriority w:val="99"/>
    <w:semiHidden/>
    <w:unhideWhenUsed/>
    <w:rsid w:val="00B6384F"/>
    <w:rPr>
      <w:vertAlign w:val="superscript"/>
    </w:rPr>
  </w:style>
  <w:style w:type="paragraph" w:styleId="ListParagraph">
    <w:name w:val="List Paragraph"/>
    <w:basedOn w:val="Normal"/>
    <w:uiPriority w:val="34"/>
    <w:qFormat/>
    <w:rsid w:val="00885EF5"/>
    <w:pPr>
      <w:ind w:left="720"/>
      <w:contextualSpacing/>
    </w:pPr>
  </w:style>
  <w:style w:type="table" w:customStyle="1" w:styleId="Lentelstinklelis1">
    <w:name w:val="Lentelės tinklelis1"/>
    <w:basedOn w:val="TableNormal"/>
    <w:next w:val="TableGrid"/>
    <w:uiPriority w:val="59"/>
    <w:rsid w:val="00F707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uatationtext">
    <w:name w:val="quatation_text"/>
    <w:basedOn w:val="DefaultParagraphFont"/>
    <w:rsid w:val="00F707CC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0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gi@vgi.l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B9C45-2043-488F-8B8A-B706A25A6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8348</Words>
  <Characters>4759</Characters>
  <Application>Microsoft Office Word</Application>
  <DocSecurity>0</DocSecurity>
  <Lines>39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VGI</vt:lpstr>
      <vt:lpstr>VGI</vt:lpstr>
    </vt:vector>
  </TitlesOfParts>
  <Company>Lenovo</Company>
  <LinksUpToDate>false</LinksUpToDate>
  <CharactersWithSpaces>13081</CharactersWithSpaces>
  <SharedDoc>false</SharedDoc>
  <HLinks>
    <vt:vector size="12" baseType="variant">
      <vt:variant>
        <vt:i4>655458</vt:i4>
      </vt:variant>
      <vt:variant>
        <vt:i4>3</vt:i4>
      </vt:variant>
      <vt:variant>
        <vt:i4>0</vt:i4>
      </vt:variant>
      <vt:variant>
        <vt:i4>5</vt:i4>
      </vt:variant>
      <vt:variant>
        <vt:lpwstr>mailto:virginija.gelzinyte@vgi.lt</vt:lpwstr>
      </vt:variant>
      <vt:variant>
        <vt:lpwstr/>
      </vt:variant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mailto:vgi@vgi.lt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VGI</dc:title>
  <dc:creator>Jonas</dc:creator>
  <cp:lastModifiedBy>Regina Vaškelienė</cp:lastModifiedBy>
  <cp:revision>2</cp:revision>
  <cp:lastPrinted>2013-04-09T14:01:00Z</cp:lastPrinted>
  <dcterms:created xsi:type="dcterms:W3CDTF">2018-06-05T08:42:00Z</dcterms:created>
  <dcterms:modified xsi:type="dcterms:W3CDTF">2018-06-05T08:42:00Z</dcterms:modified>
</cp:coreProperties>
</file>